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1AC" w:rsidRDefault="00AB41AC" w:rsidP="00AB41AC">
      <w:pPr>
        <w:pStyle w:val="1"/>
        <w:spacing w:line="520" w:lineRule="exact"/>
        <w:jc w:val="center"/>
        <w:rPr>
          <w:color w:val="auto"/>
        </w:rPr>
      </w:pPr>
      <w:bookmarkStart w:id="0" w:name="_Toc21980"/>
      <w:r>
        <w:rPr>
          <w:rFonts w:hint="eastAsia"/>
          <w:color w:val="auto"/>
        </w:rPr>
        <w:t>第五部分</w:t>
      </w:r>
      <w:r>
        <w:rPr>
          <w:rFonts w:hint="eastAsia"/>
          <w:color w:val="auto"/>
        </w:rPr>
        <w:t xml:space="preserve"> </w:t>
      </w:r>
      <w:r w:rsidRPr="00905AB8">
        <w:rPr>
          <w:color w:val="auto"/>
        </w:rPr>
        <w:t>环境应急预案评审意见</w:t>
      </w:r>
      <w:bookmarkEnd w:id="0"/>
    </w:p>
    <w:p w:rsidR="00AB41AC" w:rsidRPr="000B3EF8" w:rsidRDefault="00AB41AC" w:rsidP="00AB41AC">
      <w:pPr>
        <w:adjustRightInd w:val="0"/>
        <w:snapToGrid w:val="0"/>
        <w:jc w:val="center"/>
        <w:rPr>
          <w:rFonts w:ascii="宋体" w:eastAsia="宋体" w:hAnsi="宋体"/>
          <w:szCs w:val="32"/>
        </w:rPr>
      </w:pPr>
      <w:r w:rsidRPr="00B52947">
        <w:rPr>
          <w:rFonts w:ascii="宋体" w:eastAsia="宋体" w:hAnsi="宋体" w:hint="eastAsia"/>
          <w:szCs w:val="32"/>
          <w:u w:val="single"/>
        </w:rPr>
        <w:t>南昌大学第二附属医院（</w:t>
      </w:r>
      <w:proofErr w:type="gramStart"/>
      <w:r w:rsidR="00A04BC1">
        <w:rPr>
          <w:rFonts w:ascii="宋体" w:eastAsia="宋体" w:hAnsi="宋体" w:hint="eastAsia"/>
          <w:szCs w:val="32"/>
          <w:u w:val="single"/>
        </w:rPr>
        <w:t>红角洲院区</w:t>
      </w:r>
      <w:proofErr w:type="gramEnd"/>
      <w:r w:rsidRPr="00B52947">
        <w:rPr>
          <w:rFonts w:ascii="宋体" w:eastAsia="宋体" w:hAnsi="宋体" w:hint="eastAsia"/>
          <w:szCs w:val="32"/>
          <w:u w:val="single"/>
        </w:rPr>
        <w:t>）</w:t>
      </w:r>
      <w:r w:rsidRPr="000B3EF8">
        <w:rPr>
          <w:rFonts w:ascii="宋体" w:eastAsia="宋体" w:hAnsi="宋体" w:hint="eastAsia"/>
          <w:szCs w:val="32"/>
        </w:rPr>
        <w:t>突发环境事件应急预案评审意见表</w:t>
      </w:r>
    </w:p>
    <w:tbl>
      <w:tblPr>
        <w:tblW w:w="895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56"/>
      </w:tblGrid>
      <w:tr w:rsidR="00AB41AC" w:rsidTr="00A61CB5">
        <w:trPr>
          <w:trHeight w:val="454"/>
        </w:trPr>
        <w:tc>
          <w:tcPr>
            <w:tcW w:w="8956" w:type="dxa"/>
            <w:vAlign w:val="center"/>
          </w:tcPr>
          <w:p w:rsidR="00AB41AC" w:rsidRDefault="00AB41AC" w:rsidP="00A61CB5">
            <w:pPr>
              <w:adjustRightInd w:val="0"/>
              <w:snapToGrid w:val="0"/>
              <w:jc w:val="left"/>
              <w:rPr>
                <w:rFonts w:ascii="宋体" w:eastAsia="宋体" w:hAnsi="宋体"/>
                <w:sz w:val="21"/>
                <w:szCs w:val="21"/>
                <w:u w:val="single"/>
              </w:rPr>
            </w:pPr>
            <w:r>
              <w:rPr>
                <w:rFonts w:ascii="宋体" w:eastAsia="宋体" w:hAnsi="宋体" w:hint="eastAsia"/>
                <w:sz w:val="21"/>
                <w:szCs w:val="21"/>
              </w:rPr>
              <w:t>评审时间</w:t>
            </w:r>
            <w:r>
              <w:rPr>
                <w:rFonts w:ascii="宋体" w:eastAsia="宋体" w:hAnsi="宋体" w:hint="eastAsia"/>
                <w:sz w:val="21"/>
                <w:szCs w:val="21"/>
                <w:u w:val="single"/>
              </w:rPr>
              <w:t>：</w:t>
            </w:r>
            <w:r>
              <w:rPr>
                <w:rFonts w:ascii="宋体" w:eastAsia="宋体" w:hAnsi="宋体"/>
                <w:sz w:val="21"/>
                <w:szCs w:val="21"/>
                <w:u w:val="single"/>
              </w:rPr>
              <w:t xml:space="preserve">    2021年4月</w:t>
            </w:r>
            <w:r>
              <w:rPr>
                <w:rFonts w:ascii="宋体" w:eastAsia="宋体" w:hAnsi="宋体" w:hint="eastAsia"/>
                <w:sz w:val="21"/>
                <w:szCs w:val="21"/>
                <w:u w:val="single"/>
              </w:rPr>
              <w:t>20</w:t>
            </w:r>
            <w:r>
              <w:rPr>
                <w:rFonts w:ascii="宋体" w:eastAsia="宋体" w:hAnsi="宋体"/>
                <w:sz w:val="21"/>
                <w:szCs w:val="21"/>
                <w:u w:val="single"/>
              </w:rPr>
              <w:t xml:space="preserve">日                                </w:t>
            </w:r>
            <w:r>
              <w:rPr>
                <w:rFonts w:ascii="宋体" w:eastAsia="宋体" w:hAnsi="宋体" w:hint="eastAsia"/>
                <w:sz w:val="21"/>
                <w:szCs w:val="21"/>
              </w:rPr>
              <w:t>地点：</w:t>
            </w:r>
            <w:r>
              <w:rPr>
                <w:rFonts w:ascii="宋体" w:eastAsia="宋体" w:hAnsi="宋体"/>
                <w:sz w:val="21"/>
                <w:szCs w:val="21"/>
                <w:u w:val="single"/>
              </w:rPr>
              <w:t xml:space="preserve">       </w:t>
            </w:r>
            <w:r w:rsidR="00A52495">
              <w:rPr>
                <w:rFonts w:ascii="宋体" w:eastAsia="宋体" w:hAnsi="宋体"/>
                <w:sz w:val="21"/>
                <w:szCs w:val="21"/>
                <w:u w:val="single"/>
              </w:rPr>
              <w:t>南昌</w:t>
            </w:r>
            <w:r>
              <w:rPr>
                <w:rFonts w:ascii="宋体" w:eastAsia="宋体" w:hAnsi="宋体"/>
                <w:sz w:val="21"/>
                <w:szCs w:val="21"/>
                <w:u w:val="single"/>
              </w:rPr>
              <w:t xml:space="preserve">                       </w:t>
            </w:r>
          </w:p>
        </w:tc>
      </w:tr>
      <w:tr w:rsidR="00AB41AC" w:rsidTr="00A61CB5">
        <w:trPr>
          <w:trHeight w:val="454"/>
        </w:trPr>
        <w:tc>
          <w:tcPr>
            <w:tcW w:w="895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评审方式：</w:t>
            </w:r>
            <w:r w:rsidRPr="007469EC">
              <w:rPr>
                <w:rFonts w:ascii="宋体" w:eastAsia="宋体" w:hAnsi="宋体" w:hint="eastAsia"/>
                <w:b/>
                <w:sz w:val="21"/>
                <w:szCs w:val="21"/>
              </w:rPr>
              <w:t>√</w:t>
            </w:r>
            <w:r>
              <w:rPr>
                <w:rFonts w:ascii="宋体" w:eastAsia="宋体" w:hAnsi="宋体" w:hint="eastAsia"/>
                <w:sz w:val="21"/>
                <w:szCs w:val="21"/>
              </w:rPr>
              <w:t>函审，□会议评审，□函审、会议评审结合，□其他</w:t>
            </w:r>
            <w:r>
              <w:rPr>
                <w:rFonts w:ascii="宋体" w:eastAsia="宋体" w:hAnsi="宋体"/>
                <w:sz w:val="21"/>
                <w:szCs w:val="21"/>
                <w:u w:val="single"/>
              </w:rPr>
              <w:t xml:space="preserve">         </w:t>
            </w:r>
          </w:p>
        </w:tc>
      </w:tr>
      <w:tr w:rsidR="00AB41AC" w:rsidTr="00A61CB5">
        <w:trPr>
          <w:trHeight w:val="454"/>
        </w:trPr>
        <w:tc>
          <w:tcPr>
            <w:tcW w:w="895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评审结论：□</w:t>
            </w:r>
            <w:r w:rsidRPr="007469EC">
              <w:rPr>
                <w:rFonts w:ascii="宋体" w:eastAsia="宋体" w:hAnsi="宋体" w:hint="eastAsia"/>
                <w:b/>
                <w:sz w:val="21"/>
                <w:szCs w:val="21"/>
              </w:rPr>
              <w:t>√</w:t>
            </w:r>
            <w:r>
              <w:rPr>
                <w:rFonts w:ascii="宋体" w:eastAsia="宋体" w:hAnsi="宋体" w:hint="eastAsia"/>
                <w:sz w:val="21"/>
                <w:szCs w:val="21"/>
              </w:rPr>
              <w:t>通过评审，□原则通过但需进行修改复核，□未通过评审</w:t>
            </w:r>
          </w:p>
        </w:tc>
      </w:tr>
      <w:tr w:rsidR="00AB41AC" w:rsidTr="00A61CB5">
        <w:trPr>
          <w:trHeight w:val="1917"/>
        </w:trPr>
        <w:tc>
          <w:tcPr>
            <w:tcW w:w="8956" w:type="dxa"/>
            <w:vAlign w:val="center"/>
          </w:tcPr>
          <w:p w:rsidR="00AB41AC" w:rsidRPr="00906404" w:rsidRDefault="00AB41AC" w:rsidP="00A61CB5">
            <w:pPr>
              <w:adjustRightInd w:val="0"/>
              <w:snapToGrid w:val="0"/>
              <w:spacing w:line="300" w:lineRule="exact"/>
              <w:rPr>
                <w:rFonts w:ascii="宋体" w:eastAsia="宋体" w:hAnsi="宋体"/>
                <w:sz w:val="18"/>
                <w:szCs w:val="18"/>
              </w:rPr>
            </w:pPr>
            <w:r w:rsidRPr="00906404">
              <w:rPr>
                <w:rFonts w:ascii="宋体" w:eastAsia="宋体" w:hAnsi="宋体" w:hint="eastAsia"/>
                <w:sz w:val="18"/>
                <w:szCs w:val="18"/>
              </w:rPr>
              <w:t>评审过程：</w:t>
            </w:r>
          </w:p>
          <w:p w:rsidR="00AB41AC" w:rsidRPr="00906404" w:rsidRDefault="00AB41AC" w:rsidP="00A61CB5">
            <w:pPr>
              <w:adjustRightInd w:val="0"/>
              <w:snapToGrid w:val="0"/>
              <w:spacing w:line="300" w:lineRule="exact"/>
              <w:ind w:firstLineChars="200" w:firstLine="360"/>
              <w:rPr>
                <w:rFonts w:ascii="宋体" w:eastAsia="宋体" w:hAnsi="宋体"/>
                <w:sz w:val="18"/>
                <w:szCs w:val="18"/>
              </w:rPr>
            </w:pPr>
            <w:r w:rsidRPr="00906404">
              <w:rPr>
                <w:rFonts w:ascii="宋体" w:eastAsia="宋体" w:hAnsi="宋体" w:hint="eastAsia"/>
                <w:sz w:val="18"/>
                <w:szCs w:val="18"/>
              </w:rPr>
              <w:t>受</w:t>
            </w:r>
            <w:r w:rsidRPr="00B52947">
              <w:rPr>
                <w:rFonts w:ascii="宋体" w:eastAsia="宋体" w:hAnsi="宋体" w:hint="eastAsia"/>
                <w:sz w:val="18"/>
                <w:szCs w:val="18"/>
              </w:rPr>
              <w:t>南昌大学第二附属医院（</w:t>
            </w:r>
            <w:proofErr w:type="gramStart"/>
            <w:r w:rsidR="00A04BC1">
              <w:rPr>
                <w:rFonts w:ascii="宋体" w:eastAsia="宋体" w:hAnsi="宋体" w:hint="eastAsia"/>
                <w:sz w:val="18"/>
                <w:szCs w:val="18"/>
              </w:rPr>
              <w:t>红角洲院区</w:t>
            </w:r>
            <w:proofErr w:type="gramEnd"/>
            <w:r w:rsidRPr="00B52947">
              <w:rPr>
                <w:rFonts w:ascii="宋体" w:eastAsia="宋体" w:hAnsi="宋体" w:hint="eastAsia"/>
                <w:sz w:val="18"/>
                <w:szCs w:val="18"/>
              </w:rPr>
              <w:t>）</w:t>
            </w:r>
            <w:r w:rsidRPr="00906404">
              <w:rPr>
                <w:rFonts w:ascii="宋体" w:eastAsia="宋体" w:hAnsi="宋体" w:hint="eastAsia"/>
                <w:sz w:val="18"/>
                <w:szCs w:val="18"/>
              </w:rPr>
              <w:t>的委托，本人对《</w:t>
            </w:r>
            <w:r w:rsidRPr="00B52947">
              <w:rPr>
                <w:rFonts w:ascii="宋体" w:eastAsia="宋体" w:hAnsi="宋体" w:hint="eastAsia"/>
                <w:sz w:val="18"/>
                <w:szCs w:val="18"/>
              </w:rPr>
              <w:t>南昌大学第二附属医院（</w:t>
            </w:r>
            <w:r w:rsidR="00A04BC1">
              <w:rPr>
                <w:rFonts w:ascii="宋体" w:eastAsia="宋体" w:hAnsi="宋体" w:hint="eastAsia"/>
                <w:sz w:val="18"/>
                <w:szCs w:val="18"/>
              </w:rPr>
              <w:t>红角洲院区</w:t>
            </w:r>
            <w:r w:rsidRPr="00B52947">
              <w:rPr>
                <w:rFonts w:ascii="宋体" w:eastAsia="宋体" w:hAnsi="宋体" w:hint="eastAsia"/>
                <w:sz w:val="18"/>
                <w:szCs w:val="18"/>
              </w:rPr>
              <w:t>）</w:t>
            </w:r>
            <w:r w:rsidRPr="00906404">
              <w:rPr>
                <w:rFonts w:ascii="宋体" w:eastAsia="宋体" w:hAnsi="宋体" w:hint="eastAsia"/>
                <w:sz w:val="18"/>
                <w:szCs w:val="18"/>
              </w:rPr>
              <w:t>突发环境事件应急预案》（以下简称《应急预案》）进行函审。审查了《应急预案》、《风险评估报告》、《应急资源调查报告》等主要内容，对照生态环境部对突发环境事件应急预案备案管理的有关要求，形成如下意见：</w:t>
            </w:r>
          </w:p>
          <w:p w:rsidR="00AB41AC" w:rsidRPr="00906404" w:rsidRDefault="00AB41AC" w:rsidP="00A61CB5">
            <w:pPr>
              <w:adjustRightInd w:val="0"/>
              <w:snapToGrid w:val="0"/>
              <w:spacing w:line="300" w:lineRule="exact"/>
              <w:rPr>
                <w:rFonts w:ascii="宋体" w:eastAsia="宋体" w:hAnsi="宋体"/>
                <w:sz w:val="18"/>
                <w:szCs w:val="18"/>
              </w:rPr>
            </w:pPr>
            <w:r w:rsidRPr="00906404">
              <w:rPr>
                <w:rFonts w:ascii="宋体" w:eastAsia="宋体" w:hAnsi="宋体" w:hint="eastAsia"/>
                <w:sz w:val="18"/>
                <w:szCs w:val="18"/>
              </w:rPr>
              <w:t>总体评价：</w:t>
            </w:r>
          </w:p>
          <w:p w:rsidR="00AB41AC" w:rsidRPr="00906404" w:rsidRDefault="00AB41AC" w:rsidP="00A61CB5">
            <w:pPr>
              <w:adjustRightInd w:val="0"/>
              <w:snapToGrid w:val="0"/>
              <w:spacing w:line="300" w:lineRule="exact"/>
              <w:ind w:firstLineChars="200" w:firstLine="360"/>
              <w:rPr>
                <w:rFonts w:ascii="宋体" w:eastAsia="宋体" w:hAnsi="宋体"/>
                <w:sz w:val="18"/>
                <w:szCs w:val="18"/>
              </w:rPr>
            </w:pPr>
            <w:r w:rsidRPr="00906404">
              <w:rPr>
                <w:rFonts w:ascii="宋体" w:eastAsia="宋体" w:hAnsi="宋体" w:hint="eastAsia"/>
                <w:sz w:val="18"/>
                <w:szCs w:val="18"/>
              </w:rPr>
              <w:t>《应急预案》基本符合国家有关法律、法规、规章和标准，按照生态环境部对企业突发环境事件应急预案备案管理及环境风险评审的有关要求编制，基础资料较为客观，提出的风险防范措施和应急应对措施有一定针对性，基本符合要素评审要求和企业具体实际，经补充完善后可上报环保部门备案，用于指导处理企业突发环境污染事件。</w:t>
            </w:r>
          </w:p>
        </w:tc>
      </w:tr>
      <w:tr w:rsidR="00AB41AC" w:rsidTr="00A61CB5">
        <w:trPr>
          <w:trHeight w:val="1999"/>
        </w:trPr>
        <w:tc>
          <w:tcPr>
            <w:tcW w:w="8956" w:type="dxa"/>
            <w:vAlign w:val="center"/>
          </w:tcPr>
          <w:p w:rsidR="00AB41AC" w:rsidRDefault="00AB41AC" w:rsidP="00A61CB5">
            <w:pPr>
              <w:adjustRightInd w:val="0"/>
              <w:snapToGrid w:val="0"/>
              <w:spacing w:line="300" w:lineRule="exact"/>
              <w:ind w:firstLineChars="200" w:firstLine="360"/>
              <w:rPr>
                <w:rFonts w:ascii="宋体" w:eastAsia="宋体" w:hAnsi="宋体"/>
                <w:sz w:val="18"/>
                <w:szCs w:val="18"/>
              </w:rPr>
            </w:pPr>
            <w:r w:rsidRPr="00906404">
              <w:rPr>
                <w:rFonts w:ascii="宋体" w:eastAsia="宋体" w:hAnsi="宋体" w:hint="eastAsia"/>
                <w:sz w:val="18"/>
                <w:szCs w:val="18"/>
              </w:rPr>
              <w:t>问题清单：</w:t>
            </w:r>
          </w:p>
          <w:p w:rsidR="004B4E12" w:rsidRPr="004B4E12" w:rsidRDefault="004B4E12" w:rsidP="004B4E12">
            <w:pPr>
              <w:adjustRightInd w:val="0"/>
              <w:snapToGrid w:val="0"/>
              <w:spacing w:line="300" w:lineRule="exact"/>
              <w:ind w:firstLineChars="200" w:firstLine="360"/>
              <w:rPr>
                <w:rFonts w:ascii="宋体" w:eastAsia="宋体" w:hAnsi="宋体"/>
                <w:sz w:val="18"/>
                <w:szCs w:val="18"/>
              </w:rPr>
            </w:pPr>
            <w:r w:rsidRPr="004B4E12">
              <w:rPr>
                <w:rFonts w:ascii="宋体" w:eastAsia="宋体" w:hAnsi="宋体" w:hint="eastAsia"/>
                <w:sz w:val="18"/>
                <w:szCs w:val="18"/>
              </w:rPr>
              <w:t>1、补充相关标准规范，如《建筑设计防火规范》（GB 50016—2014）2018修订版</w:t>
            </w:r>
            <w:r>
              <w:rPr>
                <w:rFonts w:ascii="宋体" w:eastAsia="宋体" w:hAnsi="宋体" w:hint="eastAsia"/>
                <w:sz w:val="18"/>
                <w:szCs w:val="18"/>
              </w:rPr>
              <w:t>；</w:t>
            </w:r>
          </w:p>
          <w:p w:rsidR="004B4E12" w:rsidRPr="004B4E12" w:rsidRDefault="004B4E12" w:rsidP="004B4E12">
            <w:pPr>
              <w:adjustRightInd w:val="0"/>
              <w:snapToGrid w:val="0"/>
              <w:spacing w:line="300" w:lineRule="exact"/>
              <w:ind w:firstLineChars="200" w:firstLine="360"/>
              <w:rPr>
                <w:rFonts w:ascii="宋体" w:eastAsia="宋体" w:hAnsi="宋体"/>
                <w:sz w:val="18"/>
                <w:szCs w:val="18"/>
              </w:rPr>
            </w:pPr>
            <w:r w:rsidRPr="004B4E12">
              <w:rPr>
                <w:rFonts w:ascii="宋体" w:eastAsia="宋体" w:hAnsi="宋体" w:hint="eastAsia"/>
                <w:sz w:val="18"/>
                <w:szCs w:val="18"/>
              </w:rPr>
              <w:t>2、将南昌市环境保护局改为南昌市生态环境局，南昌市环境监测站改为南昌市生态环境监测中心。省环境监测站</w:t>
            </w:r>
            <w:proofErr w:type="gramStart"/>
            <w:r w:rsidRPr="004B4E12">
              <w:rPr>
                <w:rFonts w:ascii="宋体" w:eastAsia="宋体" w:hAnsi="宋体" w:hint="eastAsia"/>
                <w:sz w:val="18"/>
                <w:szCs w:val="18"/>
              </w:rPr>
              <w:t>改为省</w:t>
            </w:r>
            <w:proofErr w:type="gramEnd"/>
            <w:r w:rsidRPr="004B4E12">
              <w:rPr>
                <w:rFonts w:ascii="宋体" w:eastAsia="宋体" w:hAnsi="宋体" w:hint="eastAsia"/>
                <w:sz w:val="18"/>
                <w:szCs w:val="18"/>
              </w:rPr>
              <w:t>生态环境监测中心</w:t>
            </w:r>
            <w:r>
              <w:rPr>
                <w:rFonts w:ascii="宋体" w:eastAsia="宋体" w:hAnsi="宋体" w:hint="eastAsia"/>
                <w:sz w:val="18"/>
                <w:szCs w:val="18"/>
              </w:rPr>
              <w:t>；</w:t>
            </w:r>
          </w:p>
          <w:p w:rsidR="004B4E12" w:rsidRPr="004B4E12" w:rsidRDefault="004B4E12" w:rsidP="004B4E12">
            <w:pPr>
              <w:adjustRightInd w:val="0"/>
              <w:snapToGrid w:val="0"/>
              <w:spacing w:line="300" w:lineRule="exact"/>
              <w:ind w:firstLineChars="200" w:firstLine="360"/>
              <w:rPr>
                <w:rFonts w:ascii="宋体" w:eastAsia="宋体" w:hAnsi="宋体"/>
                <w:sz w:val="18"/>
                <w:szCs w:val="18"/>
              </w:rPr>
            </w:pPr>
            <w:r w:rsidRPr="004B4E12">
              <w:rPr>
                <w:rFonts w:ascii="宋体" w:eastAsia="宋体" w:hAnsi="宋体" w:hint="eastAsia"/>
                <w:sz w:val="18"/>
                <w:szCs w:val="18"/>
              </w:rPr>
              <w:t>3、统一单位名称</w:t>
            </w:r>
            <w:r>
              <w:rPr>
                <w:rFonts w:ascii="宋体" w:eastAsia="宋体" w:hAnsi="宋体" w:hint="eastAsia"/>
                <w:sz w:val="18"/>
                <w:szCs w:val="18"/>
              </w:rPr>
              <w:t>；</w:t>
            </w:r>
          </w:p>
          <w:p w:rsidR="004B4E12" w:rsidRPr="004B4E12" w:rsidRDefault="004B4E12" w:rsidP="004B4E12">
            <w:pPr>
              <w:adjustRightInd w:val="0"/>
              <w:snapToGrid w:val="0"/>
              <w:spacing w:line="300" w:lineRule="exact"/>
              <w:ind w:firstLineChars="200" w:firstLine="360"/>
              <w:rPr>
                <w:rFonts w:ascii="宋体" w:eastAsia="宋体" w:hAnsi="宋体"/>
                <w:sz w:val="18"/>
                <w:szCs w:val="18"/>
              </w:rPr>
            </w:pPr>
            <w:r w:rsidRPr="004B4E12">
              <w:rPr>
                <w:rFonts w:ascii="宋体" w:eastAsia="宋体" w:hAnsi="宋体" w:hint="eastAsia"/>
                <w:sz w:val="18"/>
                <w:szCs w:val="18"/>
              </w:rPr>
              <w:t>4、环境敏感点距离风险源的位置和方位</w:t>
            </w:r>
            <w:r>
              <w:rPr>
                <w:rFonts w:ascii="宋体" w:eastAsia="宋体" w:hAnsi="宋体" w:hint="eastAsia"/>
                <w:sz w:val="18"/>
                <w:szCs w:val="18"/>
              </w:rPr>
              <w:t>；</w:t>
            </w:r>
          </w:p>
          <w:p w:rsidR="004B4E12" w:rsidRPr="004B4E12" w:rsidRDefault="004B4E12" w:rsidP="004B4E12">
            <w:pPr>
              <w:adjustRightInd w:val="0"/>
              <w:snapToGrid w:val="0"/>
              <w:spacing w:line="300" w:lineRule="exact"/>
              <w:ind w:firstLineChars="200" w:firstLine="360"/>
              <w:rPr>
                <w:rFonts w:ascii="宋体" w:eastAsia="宋体" w:hAnsi="宋体"/>
                <w:sz w:val="18"/>
                <w:szCs w:val="18"/>
              </w:rPr>
            </w:pPr>
            <w:r w:rsidRPr="004B4E12">
              <w:rPr>
                <w:rFonts w:ascii="宋体" w:eastAsia="宋体" w:hAnsi="宋体" w:hint="eastAsia"/>
                <w:sz w:val="18"/>
                <w:szCs w:val="18"/>
              </w:rPr>
              <w:t>5、鉴于项目已建成，应根据项目实际情况，进一步调查项目已采取风险防范措施，分析存在的风险隐患，完善全厂风险防范措施和应急预案</w:t>
            </w:r>
            <w:r>
              <w:rPr>
                <w:rFonts w:ascii="宋体" w:eastAsia="宋体" w:hAnsi="宋体" w:hint="eastAsia"/>
                <w:sz w:val="18"/>
                <w:szCs w:val="18"/>
              </w:rPr>
              <w:t>；</w:t>
            </w:r>
          </w:p>
          <w:p w:rsidR="004B4E12" w:rsidRPr="004B4E12" w:rsidRDefault="004B4E12" w:rsidP="004B4E12">
            <w:pPr>
              <w:adjustRightInd w:val="0"/>
              <w:snapToGrid w:val="0"/>
              <w:spacing w:line="300" w:lineRule="exact"/>
              <w:ind w:firstLineChars="200" w:firstLine="360"/>
              <w:rPr>
                <w:rFonts w:ascii="宋体" w:eastAsia="宋体" w:hAnsi="宋体"/>
                <w:sz w:val="18"/>
                <w:szCs w:val="18"/>
              </w:rPr>
            </w:pPr>
            <w:r w:rsidRPr="004B4E12">
              <w:rPr>
                <w:rFonts w:ascii="宋体" w:eastAsia="宋体" w:hAnsi="宋体" w:hint="eastAsia"/>
                <w:sz w:val="18"/>
                <w:szCs w:val="18"/>
              </w:rPr>
              <w:t>6、明确风险应急预案的管理维护直接责任人和定期开展应急演练并实施记录措施的责任人；完善外部应急联系方式（增加周边企业、学校等）</w:t>
            </w:r>
            <w:r>
              <w:rPr>
                <w:rFonts w:ascii="宋体" w:eastAsia="宋体" w:hAnsi="宋体" w:hint="eastAsia"/>
                <w:sz w:val="18"/>
                <w:szCs w:val="18"/>
              </w:rPr>
              <w:t>；</w:t>
            </w:r>
          </w:p>
          <w:p w:rsidR="004B4E12" w:rsidRPr="004B4E12" w:rsidRDefault="004B4E12" w:rsidP="004B4E12">
            <w:pPr>
              <w:adjustRightInd w:val="0"/>
              <w:snapToGrid w:val="0"/>
              <w:spacing w:line="300" w:lineRule="exact"/>
              <w:ind w:firstLineChars="200" w:firstLine="360"/>
              <w:rPr>
                <w:rFonts w:ascii="宋体" w:eastAsia="宋体" w:hAnsi="宋体"/>
                <w:sz w:val="18"/>
                <w:szCs w:val="18"/>
              </w:rPr>
            </w:pPr>
            <w:r w:rsidRPr="004B4E12">
              <w:rPr>
                <w:rFonts w:ascii="宋体" w:eastAsia="宋体" w:hAnsi="宋体" w:hint="eastAsia"/>
                <w:sz w:val="18"/>
                <w:szCs w:val="18"/>
              </w:rPr>
              <w:t>7、二氧化氯粉剂一般是由A、B两种组分组成的，用水调节，两种组分发生化学反应后才生成二氧化氯，应急预案风险识别除考虑生成的二氧化氯外，还要考虑粉剂贮存的风险</w:t>
            </w:r>
            <w:r>
              <w:rPr>
                <w:rFonts w:ascii="宋体" w:eastAsia="宋体" w:hAnsi="宋体" w:hint="eastAsia"/>
                <w:sz w:val="18"/>
                <w:szCs w:val="18"/>
              </w:rPr>
              <w:t>；</w:t>
            </w:r>
          </w:p>
          <w:p w:rsidR="004B4E12" w:rsidRPr="004B4E12" w:rsidRDefault="004B4E12" w:rsidP="004B4E12">
            <w:pPr>
              <w:adjustRightInd w:val="0"/>
              <w:snapToGrid w:val="0"/>
              <w:spacing w:line="300" w:lineRule="exact"/>
              <w:ind w:firstLineChars="200" w:firstLine="360"/>
              <w:rPr>
                <w:rFonts w:ascii="宋体" w:eastAsia="宋体" w:hAnsi="宋体"/>
                <w:sz w:val="18"/>
                <w:szCs w:val="18"/>
              </w:rPr>
            </w:pPr>
            <w:r w:rsidRPr="004B4E12">
              <w:rPr>
                <w:rFonts w:ascii="宋体" w:eastAsia="宋体" w:hAnsi="宋体" w:hint="eastAsia"/>
                <w:sz w:val="18"/>
                <w:szCs w:val="18"/>
              </w:rPr>
              <w:t>8、结合风险评估结果，细化事故应急环境监测因子、频率、位置，</w:t>
            </w:r>
            <w:proofErr w:type="gramStart"/>
            <w:r w:rsidRPr="004B4E12">
              <w:rPr>
                <w:rFonts w:ascii="宋体" w:eastAsia="宋体" w:hAnsi="宋体" w:hint="eastAsia"/>
                <w:sz w:val="18"/>
                <w:szCs w:val="18"/>
              </w:rPr>
              <w:t>完善总</w:t>
            </w:r>
            <w:proofErr w:type="gramEnd"/>
            <w:r w:rsidRPr="004B4E12">
              <w:rPr>
                <w:rFonts w:ascii="宋体" w:eastAsia="宋体" w:hAnsi="宋体" w:hint="eastAsia"/>
                <w:sz w:val="18"/>
                <w:szCs w:val="18"/>
              </w:rPr>
              <w:t>平面图（应急物资贮存位置、疏散路线等）</w:t>
            </w:r>
            <w:r>
              <w:rPr>
                <w:rFonts w:ascii="宋体" w:eastAsia="宋体" w:hAnsi="宋体" w:hint="eastAsia"/>
                <w:sz w:val="18"/>
                <w:szCs w:val="18"/>
              </w:rPr>
              <w:t>；</w:t>
            </w:r>
          </w:p>
          <w:p w:rsidR="004B4E12" w:rsidRPr="004B4E12" w:rsidRDefault="004B4E12" w:rsidP="004B4E12">
            <w:pPr>
              <w:adjustRightInd w:val="0"/>
              <w:snapToGrid w:val="0"/>
              <w:spacing w:line="300" w:lineRule="exact"/>
              <w:ind w:firstLineChars="200" w:firstLine="360"/>
              <w:rPr>
                <w:rFonts w:ascii="宋体" w:eastAsia="宋体" w:hAnsi="宋体"/>
                <w:sz w:val="18"/>
                <w:szCs w:val="18"/>
              </w:rPr>
            </w:pPr>
            <w:r w:rsidRPr="004B4E12">
              <w:rPr>
                <w:rFonts w:ascii="宋体" w:eastAsia="宋体" w:hAnsi="宋体" w:hint="eastAsia"/>
                <w:sz w:val="18"/>
                <w:szCs w:val="18"/>
              </w:rPr>
              <w:t>9、Ⅱ级预警是“污水处理系统设备故障导致医疗废水事故直排，截流在污水处理站内”。首先要说明有没有截流设施，比如事故收集池</w:t>
            </w:r>
            <w:r>
              <w:rPr>
                <w:rFonts w:ascii="宋体" w:eastAsia="宋体" w:hAnsi="宋体" w:hint="eastAsia"/>
                <w:sz w:val="18"/>
                <w:szCs w:val="18"/>
              </w:rPr>
              <w:t>；</w:t>
            </w:r>
            <w:bookmarkStart w:id="1" w:name="_GoBack"/>
            <w:bookmarkEnd w:id="1"/>
          </w:p>
          <w:p w:rsidR="00AB41AC" w:rsidRPr="00906404" w:rsidRDefault="004B4E12" w:rsidP="004B4E12">
            <w:pPr>
              <w:adjustRightInd w:val="0"/>
              <w:snapToGrid w:val="0"/>
              <w:spacing w:line="300" w:lineRule="exact"/>
              <w:ind w:firstLineChars="200" w:firstLine="360"/>
              <w:rPr>
                <w:rFonts w:ascii="宋体" w:eastAsia="宋体" w:hAnsi="宋体"/>
                <w:sz w:val="18"/>
                <w:szCs w:val="18"/>
              </w:rPr>
            </w:pPr>
            <w:r w:rsidRPr="004B4E12">
              <w:rPr>
                <w:rFonts w:ascii="宋体" w:eastAsia="宋体" w:hAnsi="宋体" w:hint="eastAsia"/>
                <w:sz w:val="18"/>
                <w:szCs w:val="18"/>
              </w:rPr>
              <w:t>10、删除涉及石油化工建设项目相关的编制依据</w:t>
            </w:r>
          </w:p>
        </w:tc>
      </w:tr>
      <w:tr w:rsidR="00AB41AC" w:rsidTr="00A61CB5">
        <w:trPr>
          <w:trHeight w:val="2319"/>
        </w:trPr>
        <w:tc>
          <w:tcPr>
            <w:tcW w:w="8956" w:type="dxa"/>
            <w:vAlign w:val="center"/>
          </w:tcPr>
          <w:p w:rsidR="00AB41AC" w:rsidRPr="00E95CDD" w:rsidRDefault="006B194D" w:rsidP="00A61CB5">
            <w:pPr>
              <w:adjustRightInd w:val="0"/>
              <w:snapToGrid w:val="0"/>
              <w:rPr>
                <w:rFonts w:ascii="宋体" w:eastAsia="宋体" w:hAnsi="宋体"/>
                <w:sz w:val="21"/>
                <w:szCs w:val="21"/>
              </w:rPr>
            </w:pPr>
            <w:r w:rsidRPr="00E95CDD">
              <w:rPr>
                <w:rFonts w:ascii="宋体" w:eastAsia="宋体" w:hAnsi="宋体" w:hint="eastAsia"/>
                <w:sz w:val="21"/>
                <w:szCs w:val="21"/>
              </w:rPr>
              <w:t>评审专家</w:t>
            </w:r>
            <w:r w:rsidR="00AB41AC" w:rsidRPr="00E95CDD">
              <w:rPr>
                <w:rFonts w:ascii="宋体" w:eastAsia="宋体" w:hAnsi="宋体" w:hint="eastAsia"/>
                <w:sz w:val="21"/>
                <w:szCs w:val="21"/>
              </w:rPr>
              <w:t>：</w:t>
            </w:r>
            <w:r w:rsidR="00AB41AC" w:rsidRPr="00E95CDD">
              <w:rPr>
                <w:rFonts w:ascii="宋体" w:eastAsia="宋体" w:hAnsi="宋体"/>
                <w:sz w:val="21"/>
                <w:szCs w:val="21"/>
              </w:rPr>
              <w:t xml:space="preserve"> </w:t>
            </w:r>
          </w:p>
          <w:p w:rsidR="00AB41AC" w:rsidRPr="006B194D" w:rsidRDefault="00AB41AC" w:rsidP="00A61CB5">
            <w:pPr>
              <w:adjustRightInd w:val="0"/>
              <w:snapToGrid w:val="0"/>
              <w:spacing w:line="360" w:lineRule="auto"/>
              <w:rPr>
                <w:rFonts w:ascii="宋体" w:eastAsia="宋体" w:hAnsi="宋体"/>
                <w:sz w:val="24"/>
                <w:szCs w:val="24"/>
              </w:rPr>
            </w:pPr>
            <w:r>
              <w:rPr>
                <w:rFonts w:ascii="宋体" w:eastAsia="宋体" w:hAnsi="宋体" w:hint="eastAsia"/>
                <w:sz w:val="24"/>
                <w:szCs w:val="24"/>
              </w:rPr>
              <w:t xml:space="preserve">    </w:t>
            </w:r>
            <w:r>
              <w:rPr>
                <w:rFonts w:ascii="仿宋_GB2312" w:hint="eastAsia"/>
                <w:noProof/>
                <w:sz w:val="30"/>
                <w:szCs w:val="30"/>
              </w:rPr>
              <w:drawing>
                <wp:inline distT="0" distB="0" distL="0" distR="0" wp14:anchorId="1DAD399A" wp14:editId="1987869D">
                  <wp:extent cx="962025" cy="447675"/>
                  <wp:effectExtent l="0" t="0" r="9525" b="9525"/>
                  <wp:docPr id="2" name="图片 2"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2025" cy="447675"/>
                          </a:xfrm>
                          <a:prstGeom prst="rect">
                            <a:avLst/>
                          </a:prstGeom>
                          <a:noFill/>
                          <a:ln>
                            <a:noFill/>
                          </a:ln>
                        </pic:spPr>
                      </pic:pic>
                    </a:graphicData>
                  </a:graphic>
                </wp:inline>
              </w:drawing>
            </w:r>
            <w:r w:rsidRPr="00673606">
              <w:rPr>
                <w:rFonts w:ascii="宋体" w:eastAsia="宋体" w:hAnsi="宋体"/>
                <w:sz w:val="24"/>
                <w:szCs w:val="24"/>
              </w:rPr>
              <w:t xml:space="preserve">  </w:t>
            </w:r>
            <w:r>
              <w:rPr>
                <w:noProof/>
              </w:rPr>
              <w:drawing>
                <wp:inline distT="0" distB="0" distL="0" distR="0" wp14:anchorId="7F43FB50" wp14:editId="6E0D3ACC">
                  <wp:extent cx="1152525" cy="4191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2525" cy="419100"/>
                          </a:xfrm>
                          <a:prstGeom prst="rect">
                            <a:avLst/>
                          </a:prstGeom>
                          <a:noFill/>
                          <a:ln>
                            <a:noFill/>
                          </a:ln>
                        </pic:spPr>
                      </pic:pic>
                    </a:graphicData>
                  </a:graphic>
                </wp:inline>
              </w:drawing>
            </w:r>
            <w:r w:rsidRPr="00673606">
              <w:rPr>
                <w:rFonts w:ascii="宋体" w:eastAsia="宋体" w:hAnsi="宋体"/>
                <w:sz w:val="24"/>
                <w:szCs w:val="24"/>
              </w:rPr>
              <w:t xml:space="preserve">   </w:t>
            </w:r>
            <w:r>
              <w:rPr>
                <w:rFonts w:ascii="宋体" w:eastAsia="宋体" w:hAnsi="宋体"/>
                <w:noProof/>
                <w:sz w:val="24"/>
                <w:szCs w:val="24"/>
              </w:rPr>
              <w:drawing>
                <wp:inline distT="0" distB="0" distL="0" distR="0" wp14:anchorId="0C95A55D" wp14:editId="63F5A0FF">
                  <wp:extent cx="923290" cy="4984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3290" cy="498475"/>
                          </a:xfrm>
                          <a:prstGeom prst="rect">
                            <a:avLst/>
                          </a:prstGeom>
                          <a:noFill/>
                          <a:ln>
                            <a:noFill/>
                          </a:ln>
                        </pic:spPr>
                      </pic:pic>
                    </a:graphicData>
                  </a:graphic>
                </wp:inline>
              </w:drawing>
            </w:r>
            <w:r>
              <w:rPr>
                <w:rFonts w:ascii="宋体" w:eastAsia="宋体" w:hAnsi="宋体" w:hint="eastAsia"/>
                <w:sz w:val="24"/>
                <w:szCs w:val="24"/>
              </w:rPr>
              <w:t xml:space="preserve">           </w:t>
            </w:r>
            <w:r w:rsidRPr="00673606">
              <w:rPr>
                <w:rFonts w:ascii="宋体" w:eastAsia="宋体" w:hAnsi="宋体"/>
                <w:sz w:val="24"/>
                <w:szCs w:val="24"/>
              </w:rPr>
              <w:t xml:space="preserve">  </w:t>
            </w:r>
            <w:r w:rsidRPr="006B194D">
              <w:rPr>
                <w:rFonts w:ascii="宋体" w:eastAsia="宋体" w:hAnsi="宋体"/>
                <w:sz w:val="24"/>
                <w:szCs w:val="24"/>
              </w:rPr>
              <w:t xml:space="preserve">      </w:t>
            </w:r>
            <w:r w:rsidRPr="006B194D">
              <w:rPr>
                <w:rFonts w:ascii="宋体" w:eastAsia="宋体" w:hAnsi="宋体" w:hint="eastAsia"/>
                <w:sz w:val="24"/>
                <w:szCs w:val="24"/>
              </w:rPr>
              <w:t xml:space="preserve">  </w:t>
            </w:r>
            <w:r w:rsidRPr="006B194D">
              <w:rPr>
                <w:rFonts w:ascii="宋体" w:eastAsia="宋体" w:hAnsi="宋体"/>
                <w:sz w:val="24"/>
                <w:szCs w:val="24"/>
              </w:rPr>
              <w:t xml:space="preserve">                                             </w:t>
            </w:r>
          </w:p>
          <w:p w:rsidR="00AB41AC" w:rsidRDefault="00AB41AC" w:rsidP="00A61CB5">
            <w:pPr>
              <w:adjustRightInd w:val="0"/>
              <w:snapToGrid w:val="0"/>
              <w:spacing w:line="360" w:lineRule="auto"/>
              <w:rPr>
                <w:rFonts w:ascii="宋体" w:eastAsia="宋体" w:hAnsi="宋体"/>
                <w:sz w:val="21"/>
                <w:szCs w:val="21"/>
              </w:rPr>
            </w:pPr>
            <w:r w:rsidRPr="006B194D">
              <w:rPr>
                <w:rFonts w:ascii="宋体" w:eastAsia="宋体" w:hAnsi="宋体" w:hint="eastAsia"/>
                <w:sz w:val="24"/>
                <w:szCs w:val="24"/>
              </w:rPr>
              <w:t xml:space="preserve">     </w:t>
            </w:r>
            <w:r w:rsidRPr="006B194D">
              <w:rPr>
                <w:rFonts w:ascii="宋体" w:eastAsia="宋体" w:hAnsi="宋体"/>
                <w:sz w:val="24"/>
                <w:szCs w:val="24"/>
              </w:rPr>
              <w:t xml:space="preserve">                  </w:t>
            </w:r>
            <w:r w:rsidR="006B194D">
              <w:rPr>
                <w:rFonts w:ascii="宋体" w:eastAsia="宋体" w:hAnsi="宋体" w:hint="eastAsia"/>
                <w:sz w:val="24"/>
                <w:szCs w:val="24"/>
              </w:rPr>
              <w:t xml:space="preserve">                            </w:t>
            </w:r>
            <w:r w:rsidRPr="006B194D">
              <w:rPr>
                <w:rFonts w:ascii="宋体" w:eastAsia="宋体" w:hAnsi="宋体"/>
                <w:sz w:val="24"/>
                <w:szCs w:val="24"/>
              </w:rPr>
              <w:t xml:space="preserve">     </w:t>
            </w:r>
            <w:r w:rsidRPr="006B194D">
              <w:rPr>
                <w:rFonts w:ascii="宋体" w:eastAsia="宋体" w:hAnsi="宋体" w:hint="eastAsia"/>
                <w:sz w:val="24"/>
                <w:szCs w:val="24"/>
              </w:rPr>
              <w:t>20</w:t>
            </w:r>
            <w:r w:rsidRPr="006B194D">
              <w:rPr>
                <w:rFonts w:ascii="宋体" w:eastAsia="宋体" w:hAnsi="宋体"/>
                <w:sz w:val="24"/>
                <w:szCs w:val="24"/>
              </w:rPr>
              <w:t>21</w:t>
            </w:r>
            <w:r w:rsidRPr="006B194D">
              <w:rPr>
                <w:rFonts w:ascii="宋体" w:eastAsia="宋体" w:hAnsi="宋体" w:hint="eastAsia"/>
                <w:sz w:val="24"/>
                <w:szCs w:val="24"/>
              </w:rPr>
              <w:t>年</w:t>
            </w:r>
            <w:r w:rsidRPr="006B194D">
              <w:rPr>
                <w:rFonts w:ascii="宋体" w:eastAsia="宋体" w:hAnsi="宋体"/>
                <w:sz w:val="24"/>
                <w:szCs w:val="24"/>
              </w:rPr>
              <w:t xml:space="preserve"> 4</w:t>
            </w:r>
            <w:r w:rsidRPr="006B194D">
              <w:rPr>
                <w:rFonts w:ascii="宋体" w:eastAsia="宋体" w:hAnsi="宋体" w:hint="eastAsia"/>
                <w:sz w:val="24"/>
                <w:szCs w:val="24"/>
              </w:rPr>
              <w:t>月</w:t>
            </w:r>
            <w:r w:rsidRPr="006B194D">
              <w:rPr>
                <w:rFonts w:ascii="宋体" w:eastAsia="宋体" w:hAnsi="宋体"/>
                <w:sz w:val="24"/>
                <w:szCs w:val="24"/>
              </w:rPr>
              <w:t xml:space="preserve"> </w:t>
            </w:r>
            <w:r w:rsidRPr="006B194D">
              <w:rPr>
                <w:rFonts w:ascii="宋体" w:eastAsia="宋体" w:hAnsi="宋体" w:hint="eastAsia"/>
                <w:sz w:val="24"/>
                <w:szCs w:val="24"/>
              </w:rPr>
              <w:t>20日</w:t>
            </w:r>
          </w:p>
        </w:tc>
      </w:tr>
    </w:tbl>
    <w:p w:rsidR="00AB41AC" w:rsidRDefault="00AB41AC" w:rsidP="00AB41AC">
      <w:pPr>
        <w:adjustRightInd w:val="0"/>
        <w:snapToGrid w:val="0"/>
        <w:spacing w:beforeLines="50" w:before="180"/>
        <w:sectPr w:rsidR="00AB41AC" w:rsidSect="0073685B">
          <w:headerReference w:type="even" r:id="rId10"/>
          <w:headerReference w:type="default" r:id="rId11"/>
          <w:headerReference w:type="first" r:id="rId12"/>
          <w:pgSz w:w="11906" w:h="16838"/>
          <w:pgMar w:top="1135" w:right="1800" w:bottom="1276" w:left="1800" w:header="708" w:footer="708" w:gutter="0"/>
          <w:cols w:space="708"/>
          <w:docGrid w:type="lines" w:linePitch="360"/>
        </w:sectPr>
      </w:pPr>
    </w:p>
    <w:p w:rsidR="00AB41AC" w:rsidRDefault="00AB41AC" w:rsidP="00AB41AC">
      <w:pPr>
        <w:adjustRightInd w:val="0"/>
        <w:snapToGrid w:val="0"/>
        <w:jc w:val="center"/>
        <w:rPr>
          <w:rFonts w:ascii="方正小标宋_GBK" w:eastAsia="方正小标宋_GBK" w:hAnsi="华文中宋"/>
          <w:sz w:val="38"/>
          <w:szCs w:val="38"/>
        </w:rPr>
      </w:pPr>
      <w:r>
        <w:rPr>
          <w:rFonts w:ascii="方正小标宋_GBK" w:eastAsia="方正小标宋_GBK" w:hAnsi="华文中宋" w:hint="eastAsia"/>
          <w:sz w:val="38"/>
          <w:szCs w:val="38"/>
        </w:rPr>
        <w:lastRenderedPageBreak/>
        <w:t>企业事业单位突发环境事件应急预案评审表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34"/>
        <w:gridCol w:w="426"/>
        <w:gridCol w:w="4819"/>
        <w:gridCol w:w="1276"/>
        <w:gridCol w:w="567"/>
        <w:gridCol w:w="40"/>
        <w:gridCol w:w="669"/>
        <w:gridCol w:w="4850"/>
      </w:tblGrid>
      <w:tr w:rsidR="00AB41AC" w:rsidTr="00A61CB5">
        <w:trPr>
          <w:trHeight w:val="1270"/>
          <w:jc w:val="center"/>
        </w:trPr>
        <w:tc>
          <w:tcPr>
            <w:tcW w:w="13781" w:type="dxa"/>
            <w:gridSpan w:val="8"/>
            <w:vAlign w:val="center"/>
          </w:tcPr>
          <w:p w:rsidR="00AB41AC" w:rsidRDefault="00AB41AC" w:rsidP="00A61CB5">
            <w:pPr>
              <w:ind w:firstLine="480"/>
              <w:rPr>
                <w:rFonts w:ascii="宋体" w:eastAsia="宋体" w:hAnsi="宋体"/>
                <w:sz w:val="21"/>
                <w:szCs w:val="21"/>
              </w:rPr>
            </w:pPr>
            <w:r>
              <w:rPr>
                <w:rFonts w:ascii="宋体" w:eastAsia="宋体" w:hAnsi="宋体" w:hint="eastAsia"/>
                <w:sz w:val="21"/>
                <w:szCs w:val="21"/>
              </w:rPr>
              <w:t>预案编制单位：</w:t>
            </w:r>
            <w:r w:rsidRPr="00FF045C">
              <w:rPr>
                <w:rFonts w:ascii="宋体" w:eastAsia="宋体" w:hAnsi="宋体" w:hint="eastAsia"/>
                <w:sz w:val="21"/>
                <w:szCs w:val="21"/>
              </w:rPr>
              <w:t xml:space="preserve"> 南昌大学第二附属医院（</w:t>
            </w:r>
            <w:proofErr w:type="gramStart"/>
            <w:r w:rsidR="00A04BC1">
              <w:rPr>
                <w:rFonts w:ascii="宋体" w:eastAsia="宋体" w:hAnsi="宋体" w:hint="eastAsia"/>
                <w:sz w:val="21"/>
                <w:szCs w:val="21"/>
              </w:rPr>
              <w:t>红角洲院区</w:t>
            </w:r>
            <w:proofErr w:type="gramEnd"/>
            <w:r w:rsidRPr="00FF045C">
              <w:rPr>
                <w:rFonts w:ascii="宋体" w:eastAsia="宋体" w:hAnsi="宋体" w:hint="eastAsia"/>
                <w:sz w:val="21"/>
                <w:szCs w:val="21"/>
              </w:rPr>
              <w:t>）</w:t>
            </w:r>
            <w:r w:rsidRPr="00FF045C">
              <w:rPr>
                <w:rFonts w:ascii="宋体" w:eastAsia="宋体" w:hAnsi="宋体"/>
                <w:sz w:val="21"/>
                <w:szCs w:val="21"/>
              </w:rPr>
              <w:t xml:space="preserve">                             </w:t>
            </w:r>
          </w:p>
          <w:p w:rsidR="00AB41AC" w:rsidRDefault="00AB41AC" w:rsidP="00A61CB5">
            <w:pPr>
              <w:adjustRightInd w:val="0"/>
              <w:snapToGrid w:val="0"/>
              <w:jc w:val="left"/>
              <w:rPr>
                <w:rFonts w:ascii="宋体" w:eastAsia="宋体" w:hAnsi="宋体"/>
                <w:sz w:val="21"/>
                <w:szCs w:val="21"/>
              </w:rPr>
            </w:pPr>
            <w:r>
              <w:rPr>
                <w:rFonts w:ascii="宋体" w:eastAsia="宋体" w:hAnsi="宋体"/>
                <w:sz w:val="21"/>
                <w:szCs w:val="21"/>
              </w:rPr>
              <w:t>(</w:t>
            </w:r>
            <w:r>
              <w:rPr>
                <w:rFonts w:ascii="宋体" w:eastAsia="宋体" w:hAnsi="宋体" w:hint="eastAsia"/>
                <w:sz w:val="21"/>
                <w:szCs w:val="21"/>
              </w:rPr>
              <w:t>专业技术服务机构：</w:t>
            </w:r>
            <w:r>
              <w:rPr>
                <w:rFonts w:ascii="宋体" w:eastAsia="宋体" w:hAnsi="宋体"/>
                <w:sz w:val="21"/>
                <w:szCs w:val="21"/>
                <w:u w:val="single"/>
              </w:rPr>
              <w:t xml:space="preserve">                                                           </w:t>
            </w:r>
            <w:r>
              <w:rPr>
                <w:rFonts w:ascii="宋体" w:eastAsia="宋体" w:hAnsi="宋体"/>
                <w:sz w:val="21"/>
                <w:szCs w:val="21"/>
              </w:rPr>
              <w:t>)</w:t>
            </w:r>
          </w:p>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企业环境风险级别：☑一般；□较大；□重大</w:t>
            </w:r>
          </w:p>
          <w:p w:rsidR="00AB41AC" w:rsidRDefault="00AB41AC" w:rsidP="00A61CB5">
            <w:pPr>
              <w:adjustRightInd w:val="0"/>
              <w:snapToGrid w:val="0"/>
              <w:spacing w:afterLines="30" w:after="130"/>
              <w:jc w:val="right"/>
              <w:rPr>
                <w:rFonts w:ascii="仿宋_GB2312" w:hAnsi="宋体"/>
                <w:b/>
                <w:sz w:val="24"/>
                <w:szCs w:val="24"/>
              </w:rPr>
            </w:pPr>
            <w:r>
              <w:rPr>
                <w:rFonts w:ascii="仿宋_GB2312" w:hAnsi="宋体" w:hint="eastAsia"/>
                <w:b/>
                <w:sz w:val="24"/>
                <w:szCs w:val="24"/>
              </w:rPr>
              <w:t>（本栏由企业填写）</w:t>
            </w:r>
          </w:p>
        </w:tc>
      </w:tr>
      <w:tr w:rsidR="00AB41AC" w:rsidTr="00A61CB5">
        <w:trPr>
          <w:trHeight w:val="439"/>
          <w:jc w:val="center"/>
        </w:trPr>
        <w:tc>
          <w:tcPr>
            <w:tcW w:w="13781" w:type="dxa"/>
            <w:gridSpan w:val="8"/>
            <w:vAlign w:val="center"/>
          </w:tcPr>
          <w:p w:rsidR="00AB41AC" w:rsidRDefault="00AB41AC" w:rsidP="00A61CB5">
            <w:pPr>
              <w:adjustRightInd w:val="0"/>
              <w:snapToGrid w:val="0"/>
              <w:jc w:val="center"/>
              <w:rPr>
                <w:rFonts w:ascii="黑体" w:eastAsia="黑体" w:hAnsi="黑体"/>
                <w:sz w:val="21"/>
                <w:szCs w:val="21"/>
              </w:rPr>
            </w:pPr>
            <w:r>
              <w:rPr>
                <w:rFonts w:ascii="黑体" w:eastAsia="黑体" w:hAnsi="黑体" w:hint="eastAsia"/>
                <w:sz w:val="21"/>
                <w:szCs w:val="21"/>
              </w:rPr>
              <w:t>“一票否决”项（以下三项中任意一项判定为“不符合”，则评审结论为“未通过”）</w:t>
            </w:r>
          </w:p>
        </w:tc>
      </w:tr>
      <w:tr w:rsidR="00AB41AC" w:rsidTr="00A61CB5">
        <w:trPr>
          <w:trHeight w:val="275"/>
          <w:jc w:val="center"/>
        </w:trPr>
        <w:tc>
          <w:tcPr>
            <w:tcW w:w="6379" w:type="dxa"/>
            <w:gridSpan w:val="3"/>
            <w:vMerge w:val="restart"/>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评 审 指 标</w:t>
            </w:r>
          </w:p>
        </w:tc>
        <w:tc>
          <w:tcPr>
            <w:tcW w:w="2552" w:type="dxa"/>
            <w:gridSpan w:val="4"/>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评审意见</w:t>
            </w:r>
          </w:p>
        </w:tc>
        <w:tc>
          <w:tcPr>
            <w:tcW w:w="4850" w:type="dxa"/>
            <w:vMerge w:val="restart"/>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指 标 说 明</w:t>
            </w:r>
          </w:p>
        </w:tc>
      </w:tr>
      <w:tr w:rsidR="00AB41AC" w:rsidTr="00A61CB5">
        <w:trPr>
          <w:trHeight w:val="196"/>
          <w:jc w:val="center"/>
        </w:trPr>
        <w:tc>
          <w:tcPr>
            <w:tcW w:w="6379" w:type="dxa"/>
            <w:gridSpan w:val="3"/>
            <w:vMerge/>
            <w:vAlign w:val="center"/>
          </w:tcPr>
          <w:p w:rsidR="00AB41AC" w:rsidRDefault="00AB41AC" w:rsidP="00A61CB5">
            <w:pPr>
              <w:adjustRightInd w:val="0"/>
              <w:snapToGrid w:val="0"/>
              <w:jc w:val="center"/>
              <w:rPr>
                <w:rFonts w:ascii="宋体" w:eastAsia="宋体" w:hAnsi="宋体"/>
                <w:sz w:val="21"/>
                <w:szCs w:val="21"/>
              </w:rPr>
            </w:pPr>
          </w:p>
        </w:tc>
        <w:tc>
          <w:tcPr>
            <w:tcW w:w="1276"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判  定</w:t>
            </w:r>
          </w:p>
        </w:tc>
        <w:tc>
          <w:tcPr>
            <w:tcW w:w="1276" w:type="dxa"/>
            <w:gridSpan w:val="3"/>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说  明</w:t>
            </w:r>
          </w:p>
        </w:tc>
        <w:tc>
          <w:tcPr>
            <w:tcW w:w="4850" w:type="dxa"/>
            <w:vMerge/>
            <w:vAlign w:val="center"/>
          </w:tcPr>
          <w:p w:rsidR="00AB41AC" w:rsidRDefault="00AB41AC" w:rsidP="00A61CB5">
            <w:pPr>
              <w:adjustRightInd w:val="0"/>
              <w:snapToGrid w:val="0"/>
              <w:jc w:val="left"/>
              <w:rPr>
                <w:rFonts w:ascii="宋体" w:eastAsia="宋体" w:hAnsi="宋体"/>
                <w:sz w:val="21"/>
                <w:szCs w:val="21"/>
              </w:rPr>
            </w:pPr>
          </w:p>
        </w:tc>
      </w:tr>
      <w:tr w:rsidR="00AB41AC" w:rsidTr="00A61CB5">
        <w:trPr>
          <w:trHeight w:val="944"/>
          <w:jc w:val="center"/>
        </w:trPr>
        <w:tc>
          <w:tcPr>
            <w:tcW w:w="6379" w:type="dxa"/>
            <w:gridSpan w:val="3"/>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有单独的环境风险评估报告和环境应急资源调查报告（表）</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1276" w:type="dxa"/>
            <w:gridSpan w:val="3"/>
            <w:vAlign w:val="center"/>
          </w:tcPr>
          <w:p w:rsidR="00AB41AC" w:rsidRDefault="00AB41AC" w:rsidP="00A61CB5">
            <w:pPr>
              <w:adjustRightInd w:val="0"/>
              <w:snapToGrid w:val="0"/>
              <w:jc w:val="left"/>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突发事件应急预案管理办法有关规定；</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备案管理办法第十条要求，应当在开展环境风险评估和环境应急资源调查的基础上编制环境应急预案</w:t>
            </w:r>
          </w:p>
        </w:tc>
      </w:tr>
      <w:tr w:rsidR="00AB41AC" w:rsidTr="00A61CB5">
        <w:trPr>
          <w:trHeight w:val="1420"/>
          <w:jc w:val="center"/>
        </w:trPr>
        <w:tc>
          <w:tcPr>
            <w:tcW w:w="6379" w:type="dxa"/>
            <w:gridSpan w:val="3"/>
            <w:vAlign w:val="center"/>
          </w:tcPr>
          <w:p w:rsidR="00AB41AC" w:rsidRDefault="00AB41AC" w:rsidP="00A61CB5">
            <w:pPr>
              <w:adjustRightInd w:val="0"/>
              <w:snapToGrid w:val="0"/>
              <w:jc w:val="left"/>
              <w:rPr>
                <w:rFonts w:ascii="宋体" w:eastAsia="宋体" w:hAnsi="宋体"/>
                <w:spacing w:val="-4"/>
                <w:sz w:val="21"/>
                <w:szCs w:val="21"/>
              </w:rPr>
            </w:pPr>
            <w:r>
              <w:rPr>
                <w:rFonts w:ascii="宋体" w:eastAsia="宋体" w:hAnsi="宋体" w:hint="eastAsia"/>
                <w:spacing w:val="-4"/>
                <w:sz w:val="21"/>
                <w:szCs w:val="21"/>
              </w:rPr>
              <w:t>从可能的突发环境事件情景出发编制</w:t>
            </w:r>
            <w:proofErr w:type="gramStart"/>
            <w:r>
              <w:rPr>
                <w:rFonts w:ascii="宋体" w:eastAsia="宋体" w:hAnsi="宋体" w:hint="eastAsia"/>
                <w:spacing w:val="-4"/>
                <w:sz w:val="21"/>
                <w:szCs w:val="21"/>
              </w:rPr>
              <w:t>且典型</w:t>
            </w:r>
            <w:proofErr w:type="gramEnd"/>
            <w:r>
              <w:rPr>
                <w:rFonts w:ascii="宋体" w:eastAsia="宋体" w:hAnsi="宋体" w:hint="eastAsia"/>
                <w:spacing w:val="-4"/>
                <w:sz w:val="21"/>
                <w:szCs w:val="21"/>
              </w:rPr>
              <w:t>突发环境事件情景无缺失</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1276" w:type="dxa"/>
            <w:gridSpan w:val="3"/>
            <w:vAlign w:val="center"/>
          </w:tcPr>
          <w:p w:rsidR="00AB41AC" w:rsidRDefault="00AB41AC" w:rsidP="00A61CB5">
            <w:pPr>
              <w:adjustRightInd w:val="0"/>
              <w:snapToGrid w:val="0"/>
              <w:jc w:val="left"/>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突发事件应对法有关规定；</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备案管理办法第九、十条，均对企业从可能的突发环境事件情景出发编制环境应急预案提出了要求；</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典型突发环境事件情景基于真实事件与预期风险凝练、集合而成，体现各类事件的共性与规律</w:t>
            </w:r>
          </w:p>
        </w:tc>
      </w:tr>
      <w:tr w:rsidR="00AB41AC" w:rsidTr="00A61CB5">
        <w:trPr>
          <w:trHeight w:val="930"/>
          <w:jc w:val="center"/>
        </w:trPr>
        <w:tc>
          <w:tcPr>
            <w:tcW w:w="6379" w:type="dxa"/>
            <w:gridSpan w:val="3"/>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能够让周边居民和单位获得事件信息</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1276" w:type="dxa"/>
            <w:gridSpan w:val="3"/>
            <w:vAlign w:val="center"/>
          </w:tcPr>
          <w:p w:rsidR="00AB41AC" w:rsidRDefault="00AB41AC" w:rsidP="00A61CB5">
            <w:pPr>
              <w:adjustRightInd w:val="0"/>
              <w:snapToGrid w:val="0"/>
              <w:jc w:val="left"/>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环境保护法第四十七条规定，在发生或可能发生突发环境事件时，企业应当及时通报可能受到危害的单位和居民。备案管理办法第十条也提出了相应要求</w:t>
            </w:r>
          </w:p>
        </w:tc>
      </w:tr>
      <w:tr w:rsidR="00AB41AC" w:rsidTr="00A61CB5">
        <w:trPr>
          <w:trHeight w:val="536"/>
          <w:jc w:val="center"/>
        </w:trPr>
        <w:tc>
          <w:tcPr>
            <w:tcW w:w="13781" w:type="dxa"/>
            <w:gridSpan w:val="8"/>
            <w:vAlign w:val="center"/>
          </w:tcPr>
          <w:p w:rsidR="00AB41AC" w:rsidRDefault="00AB41AC" w:rsidP="00A61CB5">
            <w:pPr>
              <w:adjustRightInd w:val="0"/>
              <w:snapToGrid w:val="0"/>
              <w:jc w:val="center"/>
              <w:rPr>
                <w:rFonts w:ascii="黑体" w:eastAsia="黑体" w:hAnsi="黑体"/>
                <w:sz w:val="21"/>
                <w:szCs w:val="21"/>
              </w:rPr>
            </w:pPr>
            <w:r>
              <w:rPr>
                <w:rFonts w:ascii="黑体" w:eastAsia="黑体" w:hAnsi="黑体" w:hint="eastAsia"/>
                <w:sz w:val="21"/>
                <w:szCs w:val="21"/>
              </w:rPr>
              <w:t>环境应急预案及相关文件的基本形式</w:t>
            </w:r>
          </w:p>
        </w:tc>
      </w:tr>
      <w:tr w:rsidR="00AB41AC" w:rsidTr="00A61CB5">
        <w:trPr>
          <w:trHeight w:val="402"/>
          <w:jc w:val="center"/>
        </w:trPr>
        <w:tc>
          <w:tcPr>
            <w:tcW w:w="1134" w:type="dxa"/>
            <w:vMerge w:val="restart"/>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评审项目</w:t>
            </w:r>
          </w:p>
        </w:tc>
        <w:tc>
          <w:tcPr>
            <w:tcW w:w="5245" w:type="dxa"/>
            <w:gridSpan w:val="2"/>
            <w:vMerge w:val="restart"/>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评 审 指 标</w:t>
            </w:r>
          </w:p>
        </w:tc>
        <w:tc>
          <w:tcPr>
            <w:tcW w:w="2552" w:type="dxa"/>
            <w:gridSpan w:val="4"/>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评审意见</w:t>
            </w:r>
          </w:p>
        </w:tc>
        <w:tc>
          <w:tcPr>
            <w:tcW w:w="4850" w:type="dxa"/>
            <w:vMerge w:val="restart"/>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指 标 说 明</w:t>
            </w:r>
          </w:p>
        </w:tc>
      </w:tr>
      <w:tr w:rsidR="00AB41AC" w:rsidTr="00A61CB5">
        <w:trPr>
          <w:trHeight w:val="421"/>
          <w:jc w:val="center"/>
        </w:trPr>
        <w:tc>
          <w:tcPr>
            <w:tcW w:w="1134" w:type="dxa"/>
            <w:vMerge/>
            <w:vAlign w:val="center"/>
          </w:tcPr>
          <w:p w:rsidR="00AB41AC" w:rsidRDefault="00AB41AC" w:rsidP="00A61CB5">
            <w:pPr>
              <w:adjustRightInd w:val="0"/>
              <w:snapToGrid w:val="0"/>
              <w:jc w:val="center"/>
              <w:rPr>
                <w:rFonts w:ascii="宋体" w:eastAsia="宋体" w:hAnsi="宋体"/>
                <w:sz w:val="21"/>
                <w:szCs w:val="21"/>
              </w:rPr>
            </w:pPr>
          </w:p>
        </w:tc>
        <w:tc>
          <w:tcPr>
            <w:tcW w:w="5245" w:type="dxa"/>
            <w:gridSpan w:val="2"/>
            <w:vMerge/>
            <w:vAlign w:val="center"/>
          </w:tcPr>
          <w:p w:rsidR="00AB41AC" w:rsidRDefault="00AB41AC" w:rsidP="00A61CB5">
            <w:pPr>
              <w:adjustRightInd w:val="0"/>
              <w:snapToGrid w:val="0"/>
              <w:jc w:val="center"/>
              <w:rPr>
                <w:rFonts w:ascii="宋体" w:eastAsia="宋体" w:hAnsi="宋体"/>
                <w:sz w:val="21"/>
                <w:szCs w:val="21"/>
              </w:rPr>
            </w:pPr>
          </w:p>
        </w:tc>
        <w:tc>
          <w:tcPr>
            <w:tcW w:w="1276"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判定</w:t>
            </w:r>
          </w:p>
        </w:tc>
        <w:tc>
          <w:tcPr>
            <w:tcW w:w="567"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得分</w:t>
            </w:r>
          </w:p>
        </w:tc>
        <w:tc>
          <w:tcPr>
            <w:tcW w:w="709" w:type="dxa"/>
            <w:gridSpan w:val="2"/>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说明</w:t>
            </w:r>
          </w:p>
        </w:tc>
        <w:tc>
          <w:tcPr>
            <w:tcW w:w="4850" w:type="dxa"/>
            <w:vMerge/>
            <w:vAlign w:val="center"/>
          </w:tcPr>
          <w:p w:rsidR="00AB41AC" w:rsidRDefault="00AB41AC" w:rsidP="00A61CB5">
            <w:pPr>
              <w:adjustRightInd w:val="0"/>
              <w:snapToGrid w:val="0"/>
              <w:jc w:val="center"/>
              <w:rPr>
                <w:rFonts w:ascii="宋体" w:eastAsia="宋体" w:hAnsi="宋体"/>
                <w:sz w:val="21"/>
                <w:szCs w:val="21"/>
              </w:rPr>
            </w:pPr>
          </w:p>
        </w:tc>
      </w:tr>
      <w:tr w:rsidR="00AB41AC" w:rsidTr="00A61CB5">
        <w:trPr>
          <w:trHeight w:val="1812"/>
          <w:jc w:val="center"/>
        </w:trPr>
        <w:tc>
          <w:tcPr>
            <w:tcW w:w="1134"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lastRenderedPageBreak/>
              <w:t>封面目录</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vertAlign w:val="superscript"/>
              </w:rPr>
            </w:pPr>
            <w:r>
              <w:rPr>
                <w:rFonts w:ascii="宋体" w:eastAsia="宋体" w:hAnsi="宋体" w:hint="eastAsia"/>
                <w:sz w:val="21"/>
                <w:szCs w:val="21"/>
              </w:rPr>
              <w:t>1</w:t>
            </w:r>
            <w:r>
              <w:rPr>
                <w:rFonts w:ascii="宋体" w:eastAsia="宋体" w:hAnsi="宋体" w:hint="eastAsia"/>
                <w:sz w:val="21"/>
                <w:szCs w:val="21"/>
                <w:vertAlign w:val="superscript"/>
              </w:rPr>
              <w:t>a</w:t>
            </w:r>
          </w:p>
        </w:tc>
        <w:tc>
          <w:tcPr>
            <w:tcW w:w="4819"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封面有环境应急预案、预案编制单位名称，预留正式发布预案的版本号、发布日期等设计；</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目录有编号、标题和页码，一般至少设置两级目录</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567" w:type="dxa"/>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1</w:t>
            </w:r>
          </w:p>
        </w:tc>
        <w:tc>
          <w:tcPr>
            <w:tcW w:w="709" w:type="dxa"/>
            <w:gridSpan w:val="2"/>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预案版本号指为便于索引、回溯而在发布时赋予预案的标识号，企业可以按照内部技术文件版本</w:t>
            </w:r>
            <w:proofErr w:type="gramStart"/>
            <w:r>
              <w:rPr>
                <w:rFonts w:ascii="宋体" w:eastAsia="宋体" w:hAnsi="宋体" w:hint="eastAsia"/>
                <w:sz w:val="21"/>
                <w:szCs w:val="21"/>
              </w:rPr>
              <w:t>号管理</w:t>
            </w:r>
            <w:proofErr w:type="gramEnd"/>
            <w:r>
              <w:rPr>
                <w:rFonts w:ascii="宋体" w:eastAsia="宋体" w:hAnsi="宋体" w:hint="eastAsia"/>
                <w:sz w:val="21"/>
                <w:szCs w:val="21"/>
              </w:rPr>
              <w:t>要求执行；</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预案各章节可以有多级标题，但在目录中至少列出两级标题，便于查找</w:t>
            </w:r>
          </w:p>
        </w:tc>
      </w:tr>
      <w:tr w:rsidR="00AB41AC" w:rsidTr="00A61CB5">
        <w:trPr>
          <w:trHeight w:val="1951"/>
          <w:jc w:val="center"/>
        </w:trPr>
        <w:tc>
          <w:tcPr>
            <w:tcW w:w="1134"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结构</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vertAlign w:val="superscript"/>
              </w:rPr>
              <w:t>a</w:t>
            </w:r>
          </w:p>
        </w:tc>
        <w:tc>
          <w:tcPr>
            <w:tcW w:w="4819"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结构完整，格式规范</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567" w:type="dxa"/>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1</w:t>
            </w:r>
          </w:p>
        </w:tc>
        <w:tc>
          <w:tcPr>
            <w:tcW w:w="709" w:type="dxa"/>
            <w:gridSpan w:val="2"/>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结构完整指预案文件布局合理、层次分明，无错漏章节、段落；正文对附件的引用、说明等，与附件索引、附件一致；</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格式规范指预案文件符合企业内部公文格式标准，或文件字体、字号、版式、层次等遵循一定的规范</w:t>
            </w:r>
          </w:p>
        </w:tc>
      </w:tr>
      <w:tr w:rsidR="00AB41AC" w:rsidTr="00A61CB5">
        <w:trPr>
          <w:trHeight w:val="2803"/>
          <w:jc w:val="center"/>
        </w:trPr>
        <w:tc>
          <w:tcPr>
            <w:tcW w:w="1134"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行文</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vertAlign w:val="superscript"/>
              </w:rPr>
              <w:t>a</w:t>
            </w:r>
          </w:p>
        </w:tc>
        <w:tc>
          <w:tcPr>
            <w:tcW w:w="4819"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文字准确，语言通顺，内容简明</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567" w:type="dxa"/>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1</w:t>
            </w:r>
          </w:p>
        </w:tc>
        <w:tc>
          <w:tcPr>
            <w:tcW w:w="709" w:type="dxa"/>
            <w:gridSpan w:val="2"/>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文字准确是指无明显错别字、多字、漏字、语句错误、数据错误、时间错误等现象；</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语言通顺是指语言规范、连贯、易懂，合乎事理逻辑，关键内容不会产生歧义等；</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内容简明是指环境应急预案、环境风险评估报告、环境应急资源调查报告独立成文，预案正文和附件内容分配合理，应对措施等重点信息容易找到，内容上无简单重复、大量互相引用等现象</w:t>
            </w:r>
          </w:p>
        </w:tc>
      </w:tr>
      <w:tr w:rsidR="00AB41AC" w:rsidTr="00A61CB5">
        <w:trPr>
          <w:trHeight w:val="497"/>
          <w:jc w:val="center"/>
        </w:trPr>
        <w:tc>
          <w:tcPr>
            <w:tcW w:w="13781" w:type="dxa"/>
            <w:gridSpan w:val="8"/>
            <w:vAlign w:val="center"/>
          </w:tcPr>
          <w:p w:rsidR="00AB41AC" w:rsidRDefault="00AB41AC" w:rsidP="00A61CB5">
            <w:pPr>
              <w:adjustRightInd w:val="0"/>
              <w:snapToGrid w:val="0"/>
              <w:jc w:val="center"/>
              <w:rPr>
                <w:rFonts w:ascii="黑体" w:eastAsia="黑体" w:hAnsi="黑体"/>
                <w:sz w:val="21"/>
                <w:szCs w:val="21"/>
                <w:highlight w:val="yellow"/>
              </w:rPr>
            </w:pPr>
            <w:r>
              <w:rPr>
                <w:rFonts w:ascii="黑体" w:eastAsia="黑体" w:hAnsi="黑体" w:hint="eastAsia"/>
                <w:sz w:val="21"/>
                <w:szCs w:val="21"/>
              </w:rPr>
              <w:t>环境应急预案编制说明</w:t>
            </w:r>
          </w:p>
        </w:tc>
      </w:tr>
      <w:tr w:rsidR="00AB41AC" w:rsidTr="00A61CB5">
        <w:trPr>
          <w:trHeight w:val="603"/>
          <w:jc w:val="center"/>
        </w:trPr>
        <w:tc>
          <w:tcPr>
            <w:tcW w:w="1134"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过程说明</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4</w:t>
            </w:r>
            <w:r>
              <w:rPr>
                <w:rFonts w:ascii="宋体" w:eastAsia="宋体" w:hAnsi="宋体" w:hint="eastAsia"/>
                <w:sz w:val="21"/>
                <w:szCs w:val="21"/>
                <w:vertAlign w:val="superscript"/>
              </w:rPr>
              <w:t>a</w:t>
            </w:r>
          </w:p>
        </w:tc>
        <w:tc>
          <w:tcPr>
            <w:tcW w:w="4819"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说清预案编修过程</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highlight w:val="yellow"/>
              </w:rPr>
            </w:pPr>
            <w:r>
              <w:rPr>
                <w:rFonts w:ascii="宋体" w:eastAsia="宋体" w:hAnsi="宋体" w:hint="eastAsia"/>
                <w:sz w:val="21"/>
                <w:szCs w:val="21"/>
              </w:rPr>
              <w:t>□不符合</w:t>
            </w:r>
          </w:p>
        </w:tc>
        <w:tc>
          <w:tcPr>
            <w:tcW w:w="567" w:type="dxa"/>
          </w:tcPr>
          <w:p w:rsidR="00AB41AC" w:rsidRDefault="00AB41AC" w:rsidP="00A61CB5">
            <w:pPr>
              <w:keepNext/>
              <w:keepLines/>
              <w:adjustRightInd w:val="0"/>
              <w:snapToGrid w:val="0"/>
              <w:rPr>
                <w:rFonts w:ascii="宋体" w:eastAsia="宋体" w:hAnsi="宋体"/>
                <w:sz w:val="21"/>
                <w:szCs w:val="21"/>
                <w:highlight w:val="yellow"/>
              </w:rPr>
            </w:pPr>
            <w:r>
              <w:rPr>
                <w:rFonts w:ascii="宋体" w:eastAsia="宋体" w:hAnsi="宋体" w:hint="eastAsia"/>
                <w:sz w:val="21"/>
                <w:szCs w:val="21"/>
              </w:rPr>
              <w:t>1</w:t>
            </w:r>
          </w:p>
        </w:tc>
        <w:tc>
          <w:tcPr>
            <w:tcW w:w="709" w:type="dxa"/>
            <w:gridSpan w:val="2"/>
          </w:tcPr>
          <w:p w:rsidR="00AB41AC" w:rsidRDefault="00AB41AC" w:rsidP="00A61CB5">
            <w:pPr>
              <w:keepNext/>
              <w:keepLines/>
              <w:adjustRightInd w:val="0"/>
              <w:snapToGrid w:val="0"/>
              <w:rPr>
                <w:rFonts w:ascii="宋体" w:eastAsia="宋体" w:hAnsi="宋体"/>
                <w:sz w:val="21"/>
                <w:szCs w:val="21"/>
                <w:highlight w:val="yellow"/>
              </w:rPr>
            </w:pPr>
          </w:p>
        </w:tc>
        <w:tc>
          <w:tcPr>
            <w:tcW w:w="4850" w:type="dxa"/>
            <w:vAlign w:val="center"/>
          </w:tcPr>
          <w:p w:rsidR="00AB41AC" w:rsidRDefault="00AB41AC" w:rsidP="00A61CB5">
            <w:pPr>
              <w:adjustRightInd w:val="0"/>
              <w:snapToGrid w:val="0"/>
              <w:rPr>
                <w:rFonts w:ascii="宋体" w:eastAsia="宋体" w:hAnsi="宋体"/>
                <w:sz w:val="21"/>
                <w:szCs w:val="21"/>
                <w:highlight w:val="yellow"/>
              </w:rPr>
            </w:pPr>
            <w:r>
              <w:rPr>
                <w:rFonts w:ascii="宋体" w:eastAsia="宋体" w:hAnsi="宋体" w:hint="eastAsia"/>
                <w:sz w:val="21"/>
                <w:szCs w:val="21"/>
              </w:rPr>
              <w:t>编制过程主要包括成立环境应急预案编制工作组、开展环境风险评估和环境应急资源调查、征求关键岗位员工和可能受影响的居民、单位代表的意见、组织对预案内容进行推演等</w:t>
            </w:r>
          </w:p>
        </w:tc>
      </w:tr>
      <w:tr w:rsidR="00AB41AC" w:rsidTr="00A61CB5">
        <w:trPr>
          <w:trHeight w:val="603"/>
          <w:jc w:val="center"/>
        </w:trPr>
        <w:tc>
          <w:tcPr>
            <w:tcW w:w="1134"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lastRenderedPageBreak/>
              <w:t>问题说明</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5</w:t>
            </w:r>
            <w:r>
              <w:rPr>
                <w:rFonts w:ascii="宋体" w:eastAsia="宋体" w:hAnsi="宋体" w:hint="eastAsia"/>
                <w:sz w:val="21"/>
                <w:szCs w:val="21"/>
                <w:vertAlign w:val="superscript"/>
              </w:rPr>
              <w:t>a</w:t>
            </w:r>
          </w:p>
        </w:tc>
        <w:tc>
          <w:tcPr>
            <w:tcW w:w="4819" w:type="dxa"/>
            <w:vAlign w:val="center"/>
          </w:tcPr>
          <w:p w:rsidR="00AB41AC" w:rsidRDefault="00AB41AC" w:rsidP="00A61CB5">
            <w:pPr>
              <w:adjustRightInd w:val="0"/>
              <w:snapToGrid w:val="0"/>
              <w:rPr>
                <w:rFonts w:ascii="宋体" w:eastAsia="宋体" w:hAnsi="宋体"/>
                <w:spacing w:val="-2"/>
                <w:sz w:val="21"/>
                <w:szCs w:val="21"/>
              </w:rPr>
            </w:pPr>
            <w:r>
              <w:rPr>
                <w:rFonts w:ascii="宋体" w:eastAsia="宋体" w:hAnsi="宋体" w:hint="eastAsia"/>
                <w:spacing w:val="-2"/>
                <w:sz w:val="21"/>
                <w:szCs w:val="21"/>
              </w:rPr>
              <w:t>说明意见建议及采纳情况、演练暴露问题及解决措施</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567" w:type="dxa"/>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1</w:t>
            </w:r>
          </w:p>
        </w:tc>
        <w:tc>
          <w:tcPr>
            <w:tcW w:w="709" w:type="dxa"/>
            <w:gridSpan w:val="2"/>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一般应有意见建议清单，并说明采纳情况及未采纳理由；演练（一般为检验性的桌面推演）暴露问题清单及解决措施，并体现在预案中</w:t>
            </w:r>
          </w:p>
        </w:tc>
      </w:tr>
      <w:tr w:rsidR="00AB41AC" w:rsidTr="00A61CB5">
        <w:trPr>
          <w:trHeight w:val="441"/>
          <w:jc w:val="center"/>
        </w:trPr>
        <w:tc>
          <w:tcPr>
            <w:tcW w:w="13781" w:type="dxa"/>
            <w:gridSpan w:val="8"/>
            <w:vAlign w:val="center"/>
          </w:tcPr>
          <w:p w:rsidR="00AB41AC" w:rsidRDefault="00AB41AC" w:rsidP="00A61CB5">
            <w:pPr>
              <w:adjustRightInd w:val="0"/>
              <w:snapToGrid w:val="0"/>
              <w:jc w:val="center"/>
              <w:rPr>
                <w:rFonts w:ascii="黑体" w:eastAsia="黑体" w:hAnsi="黑体"/>
                <w:sz w:val="21"/>
                <w:szCs w:val="21"/>
              </w:rPr>
            </w:pPr>
            <w:r>
              <w:rPr>
                <w:rFonts w:ascii="黑体" w:eastAsia="黑体" w:hAnsi="黑体" w:hint="eastAsia"/>
                <w:sz w:val="21"/>
                <w:szCs w:val="21"/>
              </w:rPr>
              <w:t>环境应急预案文本</w:t>
            </w:r>
          </w:p>
        </w:tc>
      </w:tr>
      <w:tr w:rsidR="00AB41AC" w:rsidTr="00A61CB5">
        <w:trPr>
          <w:trHeight w:val="330"/>
          <w:jc w:val="center"/>
        </w:trPr>
        <w:tc>
          <w:tcPr>
            <w:tcW w:w="1134"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编制目的</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6</w:t>
            </w:r>
          </w:p>
        </w:tc>
        <w:tc>
          <w:tcPr>
            <w:tcW w:w="4819" w:type="dxa"/>
            <w:vAlign w:val="center"/>
          </w:tcPr>
          <w:p w:rsidR="00AB41AC" w:rsidRDefault="00AB41AC" w:rsidP="00A61CB5">
            <w:pPr>
              <w:adjustRightInd w:val="0"/>
              <w:snapToGrid w:val="0"/>
              <w:jc w:val="left"/>
              <w:rPr>
                <w:rFonts w:ascii="宋体" w:eastAsia="宋体" w:hAnsi="宋体"/>
                <w:spacing w:val="-2"/>
                <w:sz w:val="21"/>
                <w:szCs w:val="21"/>
              </w:rPr>
            </w:pPr>
            <w:r>
              <w:rPr>
                <w:rFonts w:ascii="宋体" w:eastAsia="宋体" w:hAnsi="宋体" w:hint="eastAsia"/>
                <w:spacing w:val="-2"/>
                <w:sz w:val="21"/>
                <w:szCs w:val="21"/>
              </w:rPr>
              <w:t>体现：规范事发后的应对工作，提高事件应对能力，避免或减轻事件影响，加强企业与政府应对工作衔接</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adjustRightInd w:val="0"/>
              <w:snapToGrid w:val="0"/>
              <w:rPr>
                <w:rFonts w:ascii="宋体" w:eastAsia="宋体" w:hAnsi="宋体"/>
                <w:sz w:val="21"/>
                <w:szCs w:val="21"/>
              </w:rPr>
            </w:pPr>
          </w:p>
        </w:tc>
        <w:tc>
          <w:tcPr>
            <w:tcW w:w="4850" w:type="dxa"/>
            <w:vMerge w:val="restart"/>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此三项为预案的总纲。</w:t>
            </w:r>
          </w:p>
          <w:p w:rsidR="00AB41AC" w:rsidRDefault="00AB41AC" w:rsidP="00A61CB5">
            <w:pPr>
              <w:adjustRightInd w:val="0"/>
              <w:snapToGrid w:val="0"/>
              <w:rPr>
                <w:rFonts w:ascii="宋体" w:eastAsia="宋体" w:hAnsi="宋体"/>
                <w:sz w:val="21"/>
                <w:szCs w:val="21"/>
              </w:rPr>
            </w:pP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关于“规范事发后的应对工作”，《突发事件应急预案管理办法》强调应急预案重在“应对”，适当向前延伸至“预警”，向后延伸至“恢复”。关于“加强企业与政府应对衔接”，根据备案管理办法，实行企业环境应急预案备案管理，其中一个重要作用是环保部门收集信息，服务于政府环境应急预案编修；另外，由于权限、职责、工作范围的不同，企业环境应急预案应该在指挥、措施、程序等方面留有“接口”，确保与政府预案有机衔接。</w:t>
            </w:r>
          </w:p>
          <w:p w:rsidR="00AB41AC" w:rsidRDefault="00AB41AC" w:rsidP="00A61CB5">
            <w:pPr>
              <w:adjustRightInd w:val="0"/>
              <w:snapToGrid w:val="0"/>
              <w:rPr>
                <w:rFonts w:ascii="宋体" w:eastAsia="宋体" w:hAnsi="宋体"/>
                <w:sz w:val="21"/>
                <w:szCs w:val="21"/>
              </w:rPr>
            </w:pP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适用主体，指组织实施预案的责任单位；地理或管理范围，如某公司内、某公司及周边环境敏感区域内；事件类别，如生产废水事故排放、化学品泄漏、燃烧或爆炸次生环境事件等；工作内容，可包括预警、处置、监测等。</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坚持环境优先，是因为环境一旦受到污染，修复难度大且成本高；应急工作与岗位职责相结合，强调应急任务要细化落实到具体工作岗位</w:t>
            </w:r>
          </w:p>
        </w:tc>
      </w:tr>
      <w:tr w:rsidR="00AB41AC" w:rsidTr="00A61CB5">
        <w:trPr>
          <w:trHeight w:val="907"/>
          <w:jc w:val="center"/>
        </w:trPr>
        <w:tc>
          <w:tcPr>
            <w:tcW w:w="1134"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适用范围</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7</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明确：预案适用的主体、地理或管理范围、事件类别、工作内容</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adjustRightInd w:val="0"/>
              <w:snapToGrid w:val="0"/>
              <w:rPr>
                <w:rFonts w:ascii="宋体" w:eastAsia="宋体" w:hAnsi="宋体"/>
                <w:sz w:val="21"/>
                <w:szCs w:val="21"/>
              </w:rPr>
            </w:pPr>
          </w:p>
        </w:tc>
        <w:tc>
          <w:tcPr>
            <w:tcW w:w="4850" w:type="dxa"/>
            <w:vMerge/>
          </w:tcPr>
          <w:p w:rsidR="00AB41AC" w:rsidRDefault="00AB41AC" w:rsidP="00A61CB5">
            <w:pPr>
              <w:adjustRightInd w:val="0"/>
              <w:snapToGrid w:val="0"/>
              <w:rPr>
                <w:rFonts w:ascii="宋体" w:eastAsia="宋体" w:hAnsi="宋体"/>
                <w:sz w:val="21"/>
                <w:szCs w:val="21"/>
              </w:rPr>
            </w:pPr>
          </w:p>
        </w:tc>
      </w:tr>
      <w:tr w:rsidR="00AB41AC" w:rsidTr="00A61CB5">
        <w:trPr>
          <w:trHeight w:val="907"/>
          <w:jc w:val="center"/>
        </w:trPr>
        <w:tc>
          <w:tcPr>
            <w:tcW w:w="1134"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工作原则</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8</w:t>
            </w:r>
          </w:p>
        </w:tc>
        <w:tc>
          <w:tcPr>
            <w:tcW w:w="4819" w:type="dxa"/>
            <w:vAlign w:val="center"/>
          </w:tcPr>
          <w:p w:rsidR="00AB41AC" w:rsidRDefault="00AB41AC" w:rsidP="00A61CB5">
            <w:pPr>
              <w:adjustRightInd w:val="0"/>
              <w:snapToGrid w:val="0"/>
              <w:jc w:val="left"/>
              <w:rPr>
                <w:rFonts w:ascii="宋体" w:eastAsia="宋体" w:hAnsi="宋体"/>
                <w:spacing w:val="-2"/>
                <w:sz w:val="21"/>
                <w:szCs w:val="21"/>
              </w:rPr>
            </w:pPr>
            <w:r>
              <w:rPr>
                <w:rFonts w:ascii="宋体" w:eastAsia="宋体" w:hAnsi="宋体" w:hint="eastAsia"/>
                <w:spacing w:val="-2"/>
                <w:sz w:val="21"/>
                <w:szCs w:val="21"/>
              </w:rPr>
              <w:t>体现：符合国家有关规定和要求，结合本单位实际；救人第一、环境优先；先期处置、防止危害扩大；快速响应、科学应对；应急工作与岗位职责相结合等</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adjustRightInd w:val="0"/>
              <w:snapToGrid w:val="0"/>
              <w:rPr>
                <w:rFonts w:ascii="宋体" w:eastAsia="宋体" w:hAnsi="宋体"/>
                <w:sz w:val="21"/>
                <w:szCs w:val="21"/>
              </w:rPr>
            </w:pPr>
          </w:p>
        </w:tc>
        <w:tc>
          <w:tcPr>
            <w:tcW w:w="4850" w:type="dxa"/>
            <w:vMerge/>
          </w:tcPr>
          <w:p w:rsidR="00AB41AC" w:rsidRDefault="00AB41AC" w:rsidP="00A61CB5">
            <w:pPr>
              <w:adjustRightInd w:val="0"/>
              <w:snapToGrid w:val="0"/>
              <w:rPr>
                <w:rFonts w:ascii="宋体" w:eastAsia="宋体" w:hAnsi="宋体"/>
                <w:sz w:val="21"/>
                <w:szCs w:val="21"/>
              </w:rPr>
            </w:pPr>
          </w:p>
        </w:tc>
      </w:tr>
      <w:tr w:rsidR="00AB41AC" w:rsidTr="00A61CB5">
        <w:trPr>
          <w:trHeight w:val="3103"/>
          <w:jc w:val="center"/>
        </w:trPr>
        <w:tc>
          <w:tcPr>
            <w:tcW w:w="1134" w:type="dxa"/>
            <w:vMerge w:val="restart"/>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lastRenderedPageBreak/>
              <w:t>应急预案</w:t>
            </w:r>
          </w:p>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体系</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9</w:t>
            </w:r>
            <w:r>
              <w:rPr>
                <w:rFonts w:ascii="宋体" w:eastAsia="宋体" w:hAnsi="宋体" w:hint="eastAsia"/>
                <w:sz w:val="21"/>
                <w:szCs w:val="21"/>
                <w:vertAlign w:val="superscript"/>
              </w:rPr>
              <w:t>b</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以预案关系图的形式，说明本预案的组成及其组成之间的关系、与生产安全事故预案等其他预案的衔接关系、与地方人民政府环境应急预案的衔接关系，辅以必要的重点内容说明</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3</w:t>
            </w:r>
          </w:p>
        </w:tc>
        <w:tc>
          <w:tcPr>
            <w:tcW w:w="669" w:type="dxa"/>
          </w:tcPr>
          <w:p w:rsidR="00AB41AC" w:rsidRDefault="00AB41AC" w:rsidP="00A61CB5">
            <w:pPr>
              <w:keepNext/>
              <w:keepLines/>
              <w:adjustRightInd w:val="0"/>
              <w:snapToGrid w:val="0"/>
              <w:rPr>
                <w:rFonts w:ascii="宋体" w:eastAsia="宋体" w:hAnsi="宋体"/>
                <w:sz w:val="21"/>
                <w:szCs w:val="21"/>
              </w:rPr>
            </w:pPr>
          </w:p>
        </w:tc>
        <w:tc>
          <w:tcPr>
            <w:tcW w:w="4850" w:type="dxa"/>
            <w:vMerge w:val="restart"/>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本项目的三项指标，主要考察企业在环境应急预案编制过程中能否清晰把握预案体系。具体衔接方式、内容在应对流程和措施等部分体现。</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有的企业环境应急预案包括综合预案、专项预案、现场预案或其他组成，应说明这些组成之间的衔接关系，确保各个组成清晰界定、有机衔接。企业环境应急预案一般应以现场处置预案为主，有针对性地提出各类事件情景下的污染防控措施，明确责任人员、工作流程、具体措施，落实到应急处置卡上。确需分类编制的，综合预案侧重明确应对原则、组织机构与职责、基本程序与要求，说明预案体系构成；专项预案侧重针对某一类事件，明确应急程序和处置措施。如不涉及以上情况，可以说明预案的主体框架。</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环境应急预案定位于控制并减轻、消除污染，与企业内部生产安全事故预案等其他预案清晰界定、相互支持。</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企业突发环境事件一般会对外环境造成污染，其预案应与所在地政府环境应急预案协调一致、相互配合。</w:t>
            </w:r>
          </w:p>
        </w:tc>
      </w:tr>
      <w:tr w:rsidR="00AB41AC" w:rsidTr="00A61CB5">
        <w:trPr>
          <w:trHeight w:val="907"/>
          <w:jc w:val="center"/>
        </w:trPr>
        <w:tc>
          <w:tcPr>
            <w:tcW w:w="1134" w:type="dxa"/>
            <w:vMerge/>
            <w:vAlign w:val="center"/>
          </w:tcPr>
          <w:p w:rsidR="00AB41AC" w:rsidRDefault="00AB41AC" w:rsidP="00A61CB5">
            <w:pPr>
              <w:keepNext/>
              <w:keepLines/>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10</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预案体系构成合理，以现场处置预案为主，确有必要编制综合预案、专项预案，且定位清晰、有机衔接</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adjustRightInd w:val="0"/>
              <w:snapToGrid w:val="0"/>
              <w:rPr>
                <w:rFonts w:ascii="宋体" w:eastAsia="宋体" w:hAnsi="宋体"/>
                <w:sz w:val="21"/>
                <w:szCs w:val="21"/>
              </w:rPr>
            </w:pPr>
          </w:p>
        </w:tc>
        <w:tc>
          <w:tcPr>
            <w:tcW w:w="4850" w:type="dxa"/>
            <w:vMerge/>
          </w:tcPr>
          <w:p w:rsidR="00AB41AC" w:rsidRDefault="00AB41AC" w:rsidP="00A61CB5">
            <w:pPr>
              <w:adjustRightInd w:val="0"/>
              <w:snapToGrid w:val="0"/>
              <w:rPr>
                <w:rFonts w:ascii="宋体" w:eastAsia="宋体" w:hAnsi="宋体"/>
                <w:sz w:val="21"/>
                <w:szCs w:val="21"/>
              </w:rPr>
            </w:pPr>
          </w:p>
        </w:tc>
      </w:tr>
      <w:tr w:rsidR="00AB41AC" w:rsidTr="00A61CB5">
        <w:trPr>
          <w:trHeight w:val="907"/>
          <w:jc w:val="center"/>
        </w:trPr>
        <w:tc>
          <w:tcPr>
            <w:tcW w:w="1134" w:type="dxa"/>
            <w:vMerge/>
            <w:vAlign w:val="center"/>
          </w:tcPr>
          <w:p w:rsidR="00AB41AC" w:rsidRDefault="00AB41AC" w:rsidP="00A61CB5">
            <w:pPr>
              <w:keepNext/>
              <w:keepLines/>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11</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预案整体定位清晰，与内部生产安全事故预案等其他预案清晰界定、相互支持，与地方人民政府环境应急预案有机衔接</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adjustRightInd w:val="0"/>
              <w:snapToGrid w:val="0"/>
              <w:rPr>
                <w:rFonts w:ascii="宋体" w:eastAsia="宋体" w:hAnsi="宋体"/>
                <w:sz w:val="21"/>
                <w:szCs w:val="21"/>
              </w:rPr>
            </w:pPr>
          </w:p>
        </w:tc>
        <w:tc>
          <w:tcPr>
            <w:tcW w:w="4850" w:type="dxa"/>
            <w:vMerge/>
          </w:tcPr>
          <w:p w:rsidR="00AB41AC" w:rsidRDefault="00AB41AC" w:rsidP="00A61CB5">
            <w:pPr>
              <w:adjustRightInd w:val="0"/>
              <w:snapToGrid w:val="0"/>
              <w:rPr>
                <w:rFonts w:ascii="宋体" w:eastAsia="宋体" w:hAnsi="宋体"/>
                <w:sz w:val="21"/>
                <w:szCs w:val="21"/>
              </w:rPr>
            </w:pPr>
          </w:p>
        </w:tc>
      </w:tr>
      <w:tr w:rsidR="00AB41AC" w:rsidTr="00A61CB5">
        <w:trPr>
          <w:trHeight w:val="1531"/>
          <w:jc w:val="center"/>
        </w:trPr>
        <w:tc>
          <w:tcPr>
            <w:tcW w:w="1134" w:type="dxa"/>
            <w:vMerge w:val="restart"/>
            <w:vAlign w:val="center"/>
          </w:tcPr>
          <w:p w:rsidR="00AB41AC" w:rsidRDefault="00AB41AC" w:rsidP="00A61CB5">
            <w:pPr>
              <w:adjustRightInd w:val="0"/>
              <w:snapToGrid w:val="0"/>
              <w:jc w:val="center"/>
              <w:rPr>
                <w:rFonts w:ascii="宋体" w:eastAsia="宋体" w:hAnsi="宋体"/>
                <w:color w:val="000000"/>
                <w:kern w:val="0"/>
                <w:sz w:val="21"/>
                <w:szCs w:val="21"/>
                <w:lang w:val="zh-CN"/>
              </w:rPr>
            </w:pPr>
            <w:r>
              <w:rPr>
                <w:rFonts w:ascii="宋体" w:eastAsia="宋体" w:hAnsi="宋体" w:hint="eastAsia"/>
                <w:sz w:val="21"/>
                <w:szCs w:val="21"/>
              </w:rPr>
              <w:t>组织指挥机制</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color w:val="000000"/>
                <w:sz w:val="21"/>
                <w:szCs w:val="21"/>
              </w:rPr>
            </w:pPr>
            <w:r>
              <w:rPr>
                <w:rFonts w:ascii="宋体" w:eastAsia="宋体" w:hAnsi="宋体" w:hint="eastAsia"/>
                <w:color w:val="000000"/>
                <w:sz w:val="21"/>
                <w:szCs w:val="21"/>
              </w:rPr>
              <w:t>12</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以应急组织体系结构图、应急响应流程图的形式，说明组织体系构成、应急指挥运行机制，配有应急队伍成员名单和联系方式表</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以图表形式，说明应急组织体系构成、运行机制、联系人及联系方式</w:t>
            </w:r>
          </w:p>
        </w:tc>
      </w:tr>
      <w:tr w:rsidR="00AB41AC" w:rsidTr="00A61CB5">
        <w:trPr>
          <w:trHeight w:val="1531"/>
          <w:jc w:val="center"/>
        </w:trPr>
        <w:tc>
          <w:tcPr>
            <w:tcW w:w="1134" w:type="dxa"/>
            <w:vMerge/>
            <w:vAlign w:val="center"/>
          </w:tcPr>
          <w:p w:rsidR="00AB41AC" w:rsidRDefault="00AB41AC" w:rsidP="00A61CB5">
            <w:pPr>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color w:val="000000"/>
                <w:sz w:val="21"/>
                <w:szCs w:val="21"/>
              </w:rPr>
            </w:pPr>
            <w:r>
              <w:rPr>
                <w:rFonts w:ascii="宋体" w:eastAsia="宋体" w:hAnsi="宋体" w:hint="eastAsia"/>
                <w:color w:val="000000"/>
                <w:sz w:val="21"/>
                <w:szCs w:val="21"/>
              </w:rPr>
              <w:t>13</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明确组织体系的构成及其职责。一般包括应急指挥部及其办事机构、现场处置组、环境应急监测组、应急保障组以及其他必要的行动组</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企业根据突发环境事件应急工作特点，建立由负责人和成员组成的、工作职责明确的环境应急组织指挥机构。注意与企业突发事件应急预案以及生产安全等预案中组织指挥体系的衔接</w:t>
            </w:r>
          </w:p>
        </w:tc>
      </w:tr>
      <w:tr w:rsidR="00AB41AC" w:rsidTr="00A61CB5">
        <w:trPr>
          <w:trHeight w:val="90"/>
          <w:jc w:val="center"/>
        </w:trPr>
        <w:tc>
          <w:tcPr>
            <w:tcW w:w="1134" w:type="dxa"/>
            <w:vMerge w:val="restart"/>
            <w:vAlign w:val="center"/>
          </w:tcPr>
          <w:p w:rsidR="00AB41AC" w:rsidRDefault="00AB41AC" w:rsidP="00A61CB5">
            <w:pPr>
              <w:keepNext/>
              <w:keepLines/>
              <w:adjustRightInd w:val="0"/>
              <w:snapToGrid w:val="0"/>
              <w:jc w:val="center"/>
              <w:rPr>
                <w:rFonts w:ascii="宋体" w:eastAsia="宋体" w:hAnsi="宋体"/>
                <w:sz w:val="21"/>
                <w:szCs w:val="21"/>
              </w:rPr>
            </w:pPr>
            <w:r>
              <w:rPr>
                <w:rFonts w:ascii="宋体" w:eastAsia="宋体" w:hAnsi="宋体" w:hint="eastAsia"/>
                <w:sz w:val="21"/>
                <w:szCs w:val="21"/>
              </w:rPr>
              <w:lastRenderedPageBreak/>
              <w:t>组织指挥机制</w:t>
            </w:r>
          </w:p>
        </w:tc>
        <w:tc>
          <w:tcPr>
            <w:tcW w:w="426" w:type="dxa"/>
            <w:vAlign w:val="center"/>
          </w:tcPr>
          <w:p w:rsidR="00AB41AC" w:rsidRDefault="00AB41AC" w:rsidP="00A61CB5">
            <w:pPr>
              <w:pStyle w:val="10"/>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14</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明确应急状态下指挥运行机制，建立统一的应急指挥、协调和决策程序</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指挥运行机制，指的是总指挥与各行动小组相互作用的程序和方式，能够对突发环境事件状态进行评估，迅速有效进行应急响应决策，指挥和协调各行动小组活动，合理高效地调配和使用应急资源</w:t>
            </w:r>
          </w:p>
        </w:tc>
      </w:tr>
      <w:tr w:rsidR="00AB41AC" w:rsidTr="00A61CB5">
        <w:trPr>
          <w:trHeight w:val="1155"/>
          <w:jc w:val="center"/>
        </w:trPr>
        <w:tc>
          <w:tcPr>
            <w:tcW w:w="1134" w:type="dxa"/>
            <w:vMerge/>
            <w:vAlign w:val="center"/>
          </w:tcPr>
          <w:p w:rsidR="00AB41AC" w:rsidRDefault="00AB41AC" w:rsidP="00A61CB5">
            <w:pPr>
              <w:keepNext/>
              <w:keepLines/>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15</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根据突发环境事件的危害程度、影响范围、周边环境敏感点、企业应急响应能力等，建立分级应急响应机制，明确不同应急响应级别对应的指挥权限</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例如有的企业将环境应急分为车间级、企业级、社会级，明确相应的指挥权限：车间负责人、企业负责人、接受当地政府统一指挥</w:t>
            </w:r>
          </w:p>
        </w:tc>
      </w:tr>
      <w:tr w:rsidR="00AB41AC" w:rsidTr="00A61CB5">
        <w:trPr>
          <w:trHeight w:val="1030"/>
          <w:jc w:val="center"/>
        </w:trPr>
        <w:tc>
          <w:tcPr>
            <w:tcW w:w="1134" w:type="dxa"/>
            <w:vMerge/>
            <w:vAlign w:val="center"/>
          </w:tcPr>
          <w:p w:rsidR="00AB41AC" w:rsidRDefault="00AB41AC" w:rsidP="00A61CB5">
            <w:pPr>
              <w:keepNext/>
              <w:keepLines/>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16</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说明企业与政府及其有关部门之间的关系。明确政府及其有关部门介入后，企业内部指挥协调、配合处置、参与应急保障等工作任务和责任人</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例如政府及其有关部门介入后，环境应急指挥权的移交及企业内部的调整</w:t>
            </w:r>
          </w:p>
        </w:tc>
      </w:tr>
      <w:tr w:rsidR="00AB41AC" w:rsidTr="00A61CB5">
        <w:trPr>
          <w:trHeight w:val="1154"/>
          <w:jc w:val="center"/>
        </w:trPr>
        <w:tc>
          <w:tcPr>
            <w:tcW w:w="1134" w:type="dxa"/>
            <w:vMerge w:val="restart"/>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监测预警</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17</w:t>
            </w:r>
          </w:p>
        </w:tc>
        <w:tc>
          <w:tcPr>
            <w:tcW w:w="4819"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建立企业内部监控预警方案</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根据</w:t>
            </w:r>
            <w:r>
              <w:rPr>
                <w:rFonts w:ascii="宋体" w:eastAsia="宋体" w:hAnsi="宋体"/>
                <w:sz w:val="21"/>
                <w:szCs w:val="21"/>
              </w:rPr>
              <w:t>企业</w:t>
            </w:r>
            <w:r>
              <w:rPr>
                <w:rFonts w:ascii="宋体" w:eastAsia="宋体" w:hAnsi="宋体" w:hint="eastAsia"/>
                <w:sz w:val="21"/>
                <w:szCs w:val="21"/>
              </w:rPr>
              <w:t>可能面临事件情景</w:t>
            </w:r>
            <w:r>
              <w:rPr>
                <w:rFonts w:ascii="宋体" w:eastAsia="宋体" w:hAnsi="宋体"/>
                <w:sz w:val="21"/>
                <w:szCs w:val="21"/>
              </w:rPr>
              <w:t>，</w:t>
            </w:r>
            <w:r>
              <w:rPr>
                <w:rFonts w:ascii="宋体" w:eastAsia="宋体" w:hAnsi="宋体" w:hint="eastAsia"/>
                <w:sz w:val="21"/>
                <w:szCs w:val="21"/>
              </w:rPr>
              <w:t>结合事件危害程度、紧急程度和发展态势</w:t>
            </w:r>
            <w:r>
              <w:rPr>
                <w:rFonts w:ascii="宋体" w:eastAsia="宋体" w:hAnsi="宋体"/>
                <w:sz w:val="21"/>
                <w:szCs w:val="21"/>
              </w:rPr>
              <w:t>，</w:t>
            </w:r>
            <w:r>
              <w:rPr>
                <w:rFonts w:ascii="宋体" w:eastAsia="宋体" w:hAnsi="宋体" w:hint="eastAsia"/>
                <w:sz w:val="21"/>
                <w:szCs w:val="21"/>
              </w:rPr>
              <w:t>对企业内部预警级别、预警发布与解除、预警措施进行总体安排</w:t>
            </w:r>
          </w:p>
        </w:tc>
      </w:tr>
      <w:tr w:rsidR="00AB41AC" w:rsidTr="00A61CB5">
        <w:trPr>
          <w:trHeight w:val="1406"/>
          <w:jc w:val="center"/>
        </w:trPr>
        <w:tc>
          <w:tcPr>
            <w:tcW w:w="1134" w:type="dxa"/>
            <w:vMerge/>
            <w:vAlign w:val="center"/>
          </w:tcPr>
          <w:p w:rsidR="00AB41AC" w:rsidRDefault="00AB41AC" w:rsidP="00A61CB5">
            <w:pPr>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18</w:t>
            </w:r>
          </w:p>
        </w:tc>
        <w:tc>
          <w:tcPr>
            <w:tcW w:w="4819"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明确监控信息的获得途径和分析</w:t>
            </w:r>
            <w:proofErr w:type="gramStart"/>
            <w:r>
              <w:rPr>
                <w:rFonts w:ascii="宋体" w:eastAsia="宋体" w:hAnsi="宋体" w:hint="eastAsia"/>
                <w:sz w:val="21"/>
                <w:szCs w:val="21"/>
              </w:rPr>
              <w:t>研</w:t>
            </w:r>
            <w:proofErr w:type="gramEnd"/>
            <w:r>
              <w:rPr>
                <w:rFonts w:ascii="宋体" w:eastAsia="宋体" w:hAnsi="宋体" w:hint="eastAsia"/>
                <w:sz w:val="21"/>
                <w:szCs w:val="21"/>
              </w:rPr>
              <w:t>判的方式方法</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监控信息的获得途径，例如极端天气等自然灾害、生产安全事故等事故灾难、相关监控监测信息等；</w:t>
            </w:r>
          </w:p>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分析</w:t>
            </w:r>
            <w:proofErr w:type="gramStart"/>
            <w:r>
              <w:rPr>
                <w:rFonts w:ascii="宋体" w:eastAsia="宋体" w:hAnsi="宋体" w:hint="eastAsia"/>
                <w:sz w:val="21"/>
                <w:szCs w:val="21"/>
              </w:rPr>
              <w:t>研</w:t>
            </w:r>
            <w:proofErr w:type="gramEnd"/>
            <w:r>
              <w:rPr>
                <w:rFonts w:ascii="宋体" w:eastAsia="宋体" w:hAnsi="宋体" w:hint="eastAsia"/>
                <w:sz w:val="21"/>
                <w:szCs w:val="21"/>
              </w:rPr>
              <w:t>判的方式方法，例如根据相关信息和应急能力等，结合企业自身实际进行分析</w:t>
            </w:r>
            <w:proofErr w:type="gramStart"/>
            <w:r>
              <w:rPr>
                <w:rFonts w:ascii="宋体" w:eastAsia="宋体" w:hAnsi="宋体" w:hint="eastAsia"/>
                <w:sz w:val="21"/>
                <w:szCs w:val="21"/>
              </w:rPr>
              <w:t>研</w:t>
            </w:r>
            <w:proofErr w:type="gramEnd"/>
            <w:r>
              <w:rPr>
                <w:rFonts w:ascii="宋体" w:eastAsia="宋体" w:hAnsi="宋体" w:hint="eastAsia"/>
                <w:sz w:val="21"/>
                <w:szCs w:val="21"/>
              </w:rPr>
              <w:t>判</w:t>
            </w:r>
          </w:p>
        </w:tc>
      </w:tr>
      <w:tr w:rsidR="00AB41AC" w:rsidTr="00A61CB5">
        <w:trPr>
          <w:trHeight w:val="2090"/>
          <w:jc w:val="center"/>
        </w:trPr>
        <w:tc>
          <w:tcPr>
            <w:tcW w:w="1134" w:type="dxa"/>
            <w:vMerge/>
            <w:vAlign w:val="center"/>
          </w:tcPr>
          <w:p w:rsidR="00AB41AC" w:rsidRDefault="00AB41AC" w:rsidP="00A61CB5">
            <w:pPr>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19</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明确企业内部预警条件，预警等级，预警信息发布、接收、调整、解除程序、发布内容、责任人</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一般根据企业突发环境事件类型情景和自身的应急能力等，结合周边环境情况，确定预警等级，做到早发现、早报告、早发布；</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红色预警一般为企业自身力量难以应对；橙色预警一般为企业需要调集内部绝大部分力量参与应对；黄色、蓝色预警根据企业实际需求确定</w:t>
            </w:r>
          </w:p>
        </w:tc>
      </w:tr>
      <w:tr w:rsidR="00AB41AC" w:rsidTr="00A61CB5">
        <w:trPr>
          <w:trHeight w:val="1090"/>
          <w:jc w:val="center"/>
        </w:trPr>
        <w:tc>
          <w:tcPr>
            <w:tcW w:w="1134" w:type="dxa"/>
            <w:vMerge w:val="restart"/>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lastRenderedPageBreak/>
              <w:t>信息报告</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20</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明确企业内部事件信息传递的责任人、程序、时限、方式、内容等，包括向协议应急救援单位传递信息的方式方法</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从事件第一发现人</w:t>
            </w:r>
            <w:proofErr w:type="gramStart"/>
            <w:r>
              <w:rPr>
                <w:rFonts w:ascii="宋体" w:eastAsia="宋体" w:hAnsi="宋体" w:hint="eastAsia"/>
                <w:sz w:val="21"/>
                <w:szCs w:val="21"/>
              </w:rPr>
              <w:t>至事件</w:t>
            </w:r>
            <w:proofErr w:type="gramEnd"/>
            <w:r>
              <w:rPr>
                <w:rFonts w:ascii="宋体" w:eastAsia="宋体" w:hAnsi="宋体" w:hint="eastAsia"/>
                <w:sz w:val="21"/>
                <w:szCs w:val="21"/>
              </w:rPr>
              <w:t>指挥人之间信息传递的方式、方法及内容，内容一般包括事件的时间、地点、涉及物质、简要经过、已造成或者可能造成的污染情况、已采取的措施等</w:t>
            </w:r>
          </w:p>
        </w:tc>
      </w:tr>
      <w:tr w:rsidR="00AB41AC" w:rsidTr="00A61CB5">
        <w:trPr>
          <w:trHeight w:val="1134"/>
          <w:jc w:val="center"/>
        </w:trPr>
        <w:tc>
          <w:tcPr>
            <w:tcW w:w="1134" w:type="dxa"/>
            <w:vMerge/>
            <w:vAlign w:val="center"/>
          </w:tcPr>
          <w:p w:rsidR="00AB41AC" w:rsidRDefault="00AB41AC" w:rsidP="00A61CB5">
            <w:pPr>
              <w:keepNext/>
              <w:keepLines/>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21</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明确企业向当地人民政府及其环保等部门报告的责任人、程序、时限方式、内容等，辅以信息报告格式规范</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从企业报告决策人、报告负责人到当地人民政府及其环保部门负责人（单位）之间信息传递的方式、方法及内容，内容一般包括企业及周边概况、事件的时间、地点、涉及物质、简要经过、已造成或者可能造成的污染情况、已采取的措施、请求支持的内容等</w:t>
            </w:r>
          </w:p>
        </w:tc>
      </w:tr>
      <w:tr w:rsidR="00AB41AC" w:rsidTr="00A61CB5">
        <w:trPr>
          <w:trHeight w:val="1134"/>
          <w:jc w:val="center"/>
        </w:trPr>
        <w:tc>
          <w:tcPr>
            <w:tcW w:w="1134" w:type="dxa"/>
            <w:vMerge/>
            <w:vAlign w:val="center"/>
          </w:tcPr>
          <w:p w:rsidR="00AB41AC" w:rsidRDefault="00AB41AC" w:rsidP="00A61CB5">
            <w:pPr>
              <w:keepNext/>
              <w:keepLines/>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22</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明确企业向可能受影响的居民、单位通报的责任人、程序、时限、方式、内容等</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从企业通报决策人、通报负责人到周边居民、单位负责人之间信息传递的方式、方法及内容，内容一般包括事件已造成或者可能造成的污染情况、居民或单位避险措施等</w:t>
            </w:r>
          </w:p>
        </w:tc>
      </w:tr>
      <w:tr w:rsidR="00AB41AC" w:rsidTr="00A61CB5">
        <w:trPr>
          <w:trHeight w:val="1134"/>
          <w:jc w:val="center"/>
        </w:trPr>
        <w:tc>
          <w:tcPr>
            <w:tcW w:w="1134" w:type="dxa"/>
            <w:vMerge w:val="restart"/>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应急监测</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23</w:t>
            </w:r>
            <w:r>
              <w:rPr>
                <w:rFonts w:ascii="宋体" w:eastAsia="宋体" w:hAnsi="宋体" w:hint="eastAsia"/>
                <w:sz w:val="21"/>
                <w:szCs w:val="21"/>
                <w:vertAlign w:val="superscript"/>
              </w:rPr>
              <w:t>c</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涉大气污染的，说明排放口和厂界气体监测的一般原则</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按照《突发环境事件应急监测技术规范》等有关要求，确定排放口和厂界气体监测一般原则，为针对具体事件情景制定监测方案提供指导；</w:t>
            </w:r>
          </w:p>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排放口为突发环境事件中污染物的排放出口，包括按照相关环境保护标准设置的排放口</w:t>
            </w:r>
          </w:p>
        </w:tc>
      </w:tr>
      <w:tr w:rsidR="00AB41AC" w:rsidTr="00A61CB5">
        <w:trPr>
          <w:trHeight w:val="1134"/>
          <w:jc w:val="center"/>
        </w:trPr>
        <w:tc>
          <w:tcPr>
            <w:tcW w:w="1134" w:type="dxa"/>
            <w:vMerge/>
            <w:vAlign w:val="center"/>
          </w:tcPr>
          <w:p w:rsidR="00AB41AC" w:rsidRDefault="00AB41AC" w:rsidP="00A61CB5">
            <w:pPr>
              <w:keepNext/>
              <w:keepLines/>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24</w:t>
            </w:r>
            <w:r>
              <w:rPr>
                <w:rFonts w:ascii="宋体" w:eastAsia="宋体" w:hAnsi="宋体" w:hint="eastAsia"/>
                <w:sz w:val="21"/>
                <w:szCs w:val="21"/>
                <w:vertAlign w:val="superscript"/>
              </w:rPr>
              <w:t>c</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涉水污染的，说明废水排放口、雨水排放口、清净下水排放口等可能外排渠道监测的一般原则</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1</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按照《突发环境事件应急监测技术规范》等有关要求，确定可能外排渠道监测的一般原则，为针对具体事件情景制定监测方案提供指导</w:t>
            </w:r>
          </w:p>
        </w:tc>
      </w:tr>
      <w:tr w:rsidR="00AB41AC" w:rsidTr="00A61CB5">
        <w:trPr>
          <w:trHeight w:val="902"/>
          <w:jc w:val="center"/>
        </w:trPr>
        <w:tc>
          <w:tcPr>
            <w:tcW w:w="1134" w:type="dxa"/>
            <w:vMerge/>
            <w:vAlign w:val="center"/>
          </w:tcPr>
          <w:p w:rsidR="00AB41AC" w:rsidRDefault="00AB41AC" w:rsidP="00A61CB5">
            <w:pPr>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25</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监测方案一般应明确监测项目、采样（监测）人员、监测设备、监测频次等</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1</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针对具体事件情景制定监测方案</w:t>
            </w:r>
          </w:p>
        </w:tc>
      </w:tr>
      <w:tr w:rsidR="00AB41AC" w:rsidTr="00A61CB5">
        <w:trPr>
          <w:trHeight w:val="1134"/>
          <w:jc w:val="center"/>
        </w:trPr>
        <w:tc>
          <w:tcPr>
            <w:tcW w:w="1134" w:type="dxa"/>
            <w:vMerge/>
            <w:vAlign w:val="center"/>
          </w:tcPr>
          <w:p w:rsidR="00AB41AC" w:rsidRDefault="00AB41AC" w:rsidP="00A61CB5">
            <w:pPr>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26</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明确监测执行单位；自身没有监测能力的，说明协议监测方案，并附协议</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1</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自身没有监测能力的，应与当地环境监测机构或其他机构衔接，确保能够迅速获得环境检测支持</w:t>
            </w:r>
          </w:p>
        </w:tc>
      </w:tr>
      <w:tr w:rsidR="00AB41AC" w:rsidTr="00A61CB5">
        <w:trPr>
          <w:trHeight w:val="1134"/>
          <w:jc w:val="center"/>
        </w:trPr>
        <w:tc>
          <w:tcPr>
            <w:tcW w:w="1134" w:type="dxa"/>
            <w:vMerge w:val="restart"/>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lastRenderedPageBreak/>
              <w:t>应对流程和措施</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27</w:t>
            </w:r>
            <w:r>
              <w:rPr>
                <w:rFonts w:ascii="宋体" w:eastAsia="宋体" w:hAnsi="宋体" w:hint="eastAsia"/>
                <w:sz w:val="21"/>
                <w:szCs w:val="21"/>
                <w:vertAlign w:val="superscript"/>
              </w:rPr>
              <w:t>b</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根据环境风险评估报告中的风险分析和情景构建内容，说明应对流程和措施，体现：企业内部控制污染源</w:t>
            </w:r>
            <w:r>
              <w:rPr>
                <w:rFonts w:ascii="宋体" w:eastAsia="宋体" w:hAnsi="宋体"/>
                <w:sz w:val="21"/>
                <w:szCs w:val="21"/>
              </w:rPr>
              <w:t>-</w:t>
            </w:r>
            <w:proofErr w:type="gramStart"/>
            <w:r>
              <w:rPr>
                <w:rFonts w:ascii="宋体" w:eastAsia="宋体" w:hAnsi="宋体" w:hint="eastAsia"/>
                <w:sz w:val="21"/>
                <w:szCs w:val="21"/>
              </w:rPr>
              <w:t>研判污染</w:t>
            </w:r>
            <w:proofErr w:type="gramEnd"/>
            <w:r>
              <w:rPr>
                <w:rFonts w:ascii="宋体" w:eastAsia="宋体" w:hAnsi="宋体" w:hint="eastAsia"/>
                <w:sz w:val="21"/>
                <w:szCs w:val="21"/>
              </w:rPr>
              <w:t>范围</w:t>
            </w:r>
            <w:r>
              <w:rPr>
                <w:rFonts w:ascii="宋体" w:eastAsia="宋体" w:hAnsi="宋体"/>
                <w:sz w:val="21"/>
                <w:szCs w:val="21"/>
              </w:rPr>
              <w:t>-</w:t>
            </w:r>
            <w:r>
              <w:rPr>
                <w:rFonts w:ascii="宋体" w:eastAsia="宋体" w:hAnsi="宋体" w:hint="eastAsia"/>
                <w:sz w:val="21"/>
                <w:szCs w:val="21"/>
              </w:rPr>
              <w:t>控制污染扩散</w:t>
            </w:r>
            <w:r>
              <w:rPr>
                <w:rFonts w:ascii="宋体" w:eastAsia="宋体" w:hAnsi="宋体"/>
                <w:sz w:val="21"/>
                <w:szCs w:val="21"/>
              </w:rPr>
              <w:t>-</w:t>
            </w:r>
            <w:r>
              <w:rPr>
                <w:rFonts w:ascii="宋体" w:eastAsia="宋体" w:hAnsi="宋体" w:hint="eastAsia"/>
                <w:sz w:val="21"/>
                <w:szCs w:val="21"/>
              </w:rPr>
              <w:t>污染处置应对流程和措施</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1.5</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企业内部应对突发环境事件的原则性措施</w:t>
            </w:r>
          </w:p>
        </w:tc>
      </w:tr>
      <w:tr w:rsidR="00AB41AC" w:rsidTr="00A61CB5">
        <w:trPr>
          <w:trHeight w:val="1134"/>
          <w:jc w:val="center"/>
        </w:trPr>
        <w:tc>
          <w:tcPr>
            <w:tcW w:w="1134" w:type="dxa"/>
            <w:vMerge/>
            <w:vAlign w:val="center"/>
          </w:tcPr>
          <w:p w:rsidR="00AB41AC" w:rsidRDefault="00AB41AC" w:rsidP="00A61CB5">
            <w:pPr>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28</w:t>
            </w:r>
            <w:r>
              <w:rPr>
                <w:rFonts w:ascii="宋体" w:eastAsia="宋体" w:hAnsi="宋体" w:hint="eastAsia"/>
                <w:sz w:val="21"/>
                <w:szCs w:val="21"/>
                <w:vertAlign w:val="superscript"/>
              </w:rPr>
              <w:t>b</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体现必要的企业外部应急措施、配合当地人民政府的响应措施及对当地人民政府应急措施的建议</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1.5</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突发环境事件可能或已经对企业外部环境产生影响时，企业在外部可以采取的原则性措施、对当地人民政府的建议性措施</w:t>
            </w:r>
          </w:p>
        </w:tc>
      </w:tr>
      <w:tr w:rsidR="00AB41AC" w:rsidTr="00A61CB5">
        <w:trPr>
          <w:trHeight w:val="1071"/>
          <w:jc w:val="center"/>
        </w:trPr>
        <w:tc>
          <w:tcPr>
            <w:tcW w:w="1134" w:type="dxa"/>
            <w:vMerge/>
            <w:vAlign w:val="center"/>
          </w:tcPr>
          <w:p w:rsidR="00AB41AC" w:rsidRDefault="00AB41AC" w:rsidP="00A61CB5">
            <w:pPr>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29</w:t>
            </w:r>
            <w:r>
              <w:rPr>
                <w:rFonts w:ascii="宋体" w:eastAsia="宋体" w:hAnsi="宋体" w:hint="eastAsia"/>
                <w:sz w:val="21"/>
                <w:szCs w:val="21"/>
                <w:vertAlign w:val="superscript"/>
              </w:rPr>
              <w:t>c</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涉及大气污染的，应重点说明受威胁范围、组织公众避险的方式方法，涉及疏散的一般应辅以疏散路线图；如果装备风向标，应配有风向标分布图</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1</w:t>
            </w:r>
          </w:p>
        </w:tc>
        <w:tc>
          <w:tcPr>
            <w:tcW w:w="669" w:type="dxa"/>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避险的方式包括疏散、防护等，说明避险措施的原则性安排</w:t>
            </w:r>
          </w:p>
        </w:tc>
      </w:tr>
      <w:tr w:rsidR="00AB41AC" w:rsidTr="00A61CB5">
        <w:trPr>
          <w:trHeight w:val="1021"/>
          <w:jc w:val="center"/>
        </w:trPr>
        <w:tc>
          <w:tcPr>
            <w:tcW w:w="1134" w:type="dxa"/>
            <w:vMerge/>
            <w:vAlign w:val="center"/>
          </w:tcPr>
          <w:p w:rsidR="00AB41AC" w:rsidRDefault="00AB41AC" w:rsidP="00A61CB5">
            <w:pPr>
              <w:keepNext/>
              <w:keepLines/>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30</w:t>
            </w:r>
            <w:r>
              <w:rPr>
                <w:rFonts w:ascii="宋体" w:eastAsia="宋体" w:hAnsi="宋体" w:hint="eastAsia"/>
                <w:sz w:val="21"/>
                <w:szCs w:val="21"/>
                <w:vertAlign w:val="superscript"/>
              </w:rPr>
              <w:t>c</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涉及水污染的，应重点说明企业内收集、封堵、处置污染物的方式方法，适当延伸至企业外防控方式方法；配有废水、雨水、清净下水管网及重要阀门设置图</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1</w:t>
            </w:r>
          </w:p>
        </w:tc>
        <w:tc>
          <w:tcPr>
            <w:tcW w:w="669" w:type="dxa"/>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说明控制水污染的原则性安排</w:t>
            </w:r>
          </w:p>
        </w:tc>
      </w:tr>
      <w:tr w:rsidR="00AB41AC" w:rsidTr="00A61CB5">
        <w:trPr>
          <w:trHeight w:val="860"/>
          <w:jc w:val="center"/>
        </w:trPr>
        <w:tc>
          <w:tcPr>
            <w:tcW w:w="1134" w:type="dxa"/>
            <w:vMerge/>
            <w:vAlign w:val="center"/>
          </w:tcPr>
          <w:p w:rsidR="00AB41AC" w:rsidRDefault="00AB41AC" w:rsidP="00A61CB5">
            <w:pPr>
              <w:keepNext/>
              <w:keepLines/>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31</w:t>
            </w:r>
            <w:r>
              <w:rPr>
                <w:rFonts w:ascii="宋体" w:eastAsia="宋体" w:hAnsi="宋体" w:hint="eastAsia"/>
                <w:sz w:val="21"/>
                <w:szCs w:val="21"/>
                <w:vertAlign w:val="superscript"/>
              </w:rPr>
              <w:t>b</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分别说明可能的事件情景及应急处置方案，明确相关岗位人员采取措施的时间、地点、内容、方式、目标等</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1.5</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按照以上原则性措施，针对具体事件情景，按岗位细化各项应对措施，并纳入岗位职责范围</w:t>
            </w:r>
          </w:p>
        </w:tc>
      </w:tr>
      <w:tr w:rsidR="00AB41AC" w:rsidTr="00A61CB5">
        <w:trPr>
          <w:trHeight w:val="1021"/>
          <w:jc w:val="center"/>
        </w:trPr>
        <w:tc>
          <w:tcPr>
            <w:tcW w:w="1134" w:type="dxa"/>
            <w:vMerge/>
            <w:vAlign w:val="center"/>
          </w:tcPr>
          <w:p w:rsidR="00AB41AC" w:rsidRDefault="00AB41AC" w:rsidP="00A61CB5">
            <w:pPr>
              <w:keepNext/>
              <w:keepLines/>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32</w:t>
            </w:r>
            <w:r>
              <w:rPr>
                <w:rFonts w:ascii="宋体" w:eastAsia="宋体" w:hAnsi="宋体" w:hint="eastAsia"/>
                <w:sz w:val="21"/>
                <w:szCs w:val="21"/>
                <w:vertAlign w:val="superscript"/>
              </w:rPr>
              <w:t>b</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将应急措施细化、落实到岗位，形成应急</w:t>
            </w:r>
            <w:proofErr w:type="gramStart"/>
            <w:r>
              <w:rPr>
                <w:rFonts w:ascii="宋体" w:eastAsia="宋体" w:hAnsi="宋体" w:hint="eastAsia"/>
                <w:sz w:val="21"/>
                <w:szCs w:val="21"/>
              </w:rPr>
              <w:t>处置卡</w:t>
            </w:r>
            <w:proofErr w:type="gramEnd"/>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1.5</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关键岗位的应急</w:t>
            </w:r>
            <w:proofErr w:type="gramStart"/>
            <w:r>
              <w:rPr>
                <w:rFonts w:ascii="宋体" w:eastAsia="宋体" w:hAnsi="宋体" w:hint="eastAsia"/>
                <w:sz w:val="21"/>
                <w:szCs w:val="21"/>
              </w:rPr>
              <w:t>处置卡无</w:t>
            </w:r>
            <w:proofErr w:type="gramEnd"/>
            <w:r>
              <w:rPr>
                <w:rFonts w:ascii="宋体" w:eastAsia="宋体" w:hAnsi="宋体" w:hint="eastAsia"/>
                <w:sz w:val="21"/>
                <w:szCs w:val="21"/>
              </w:rPr>
              <w:t>遗漏，事件情景特征、处理步骤、应急物资、注意事项等叙述清晰</w:t>
            </w:r>
          </w:p>
        </w:tc>
      </w:tr>
      <w:tr w:rsidR="00AB41AC" w:rsidTr="00A61CB5">
        <w:trPr>
          <w:trHeight w:val="637"/>
          <w:jc w:val="center"/>
        </w:trPr>
        <w:tc>
          <w:tcPr>
            <w:tcW w:w="1134" w:type="dxa"/>
            <w:vMerge/>
            <w:vAlign w:val="center"/>
          </w:tcPr>
          <w:p w:rsidR="00AB41AC" w:rsidRDefault="00AB41AC" w:rsidP="00A61CB5">
            <w:pPr>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33</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配有厂区平面布置图，应急物资表</w:t>
            </w:r>
            <w:r>
              <w:rPr>
                <w:rFonts w:ascii="宋体" w:eastAsia="宋体" w:hAnsi="宋体"/>
                <w:sz w:val="21"/>
                <w:szCs w:val="21"/>
              </w:rPr>
              <w:t>/</w:t>
            </w:r>
            <w:r>
              <w:rPr>
                <w:rFonts w:ascii="宋体" w:eastAsia="宋体" w:hAnsi="宋体" w:hint="eastAsia"/>
                <w:sz w:val="21"/>
                <w:szCs w:val="21"/>
              </w:rPr>
              <w:t>分布图</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1</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p>
        </w:tc>
      </w:tr>
      <w:tr w:rsidR="00AB41AC" w:rsidTr="00A61CB5">
        <w:trPr>
          <w:trHeight w:val="890"/>
          <w:jc w:val="center"/>
        </w:trPr>
        <w:tc>
          <w:tcPr>
            <w:tcW w:w="1134"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应急终止</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34</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结合本单位实际，说明应急终止的条件和发布程序</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列明应急终止的基本条件，明确应急终止的决策、指令内容及传递程序等</w:t>
            </w:r>
          </w:p>
        </w:tc>
      </w:tr>
      <w:tr w:rsidR="00AB41AC" w:rsidTr="00A61CB5">
        <w:trPr>
          <w:trHeight w:val="1095"/>
          <w:jc w:val="center"/>
        </w:trPr>
        <w:tc>
          <w:tcPr>
            <w:tcW w:w="1134"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lastRenderedPageBreak/>
              <w:t>事后恢复</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35</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说明事后恢复的工作内容和责任人，一般包括：现场污染物的后续处理；环境应急相关设施、设备、场所的维护；配合开展环境损害评估、赔偿、事件调查处理等</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《突发事件应急预案管理办法》强调应急预案重在“应对”，适当向后延伸至“恢复”，即企业从突发环境事件应对的“非常规状态”过渡到“常规状态”的相关工作安排</w:t>
            </w:r>
          </w:p>
        </w:tc>
      </w:tr>
      <w:tr w:rsidR="00AB41AC" w:rsidTr="00A61CB5">
        <w:trPr>
          <w:trHeight w:val="875"/>
          <w:jc w:val="center"/>
        </w:trPr>
        <w:tc>
          <w:tcPr>
            <w:tcW w:w="1134"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保障措施</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36</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说明环境应急预案涉及的人力资源、财力、物资以及其他技术、重要设施的保障</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对各类保障措施进行总体安排</w:t>
            </w:r>
          </w:p>
        </w:tc>
      </w:tr>
      <w:tr w:rsidR="00AB41AC" w:rsidTr="00A61CB5">
        <w:trPr>
          <w:trHeight w:val="916"/>
          <w:jc w:val="center"/>
        </w:trPr>
        <w:tc>
          <w:tcPr>
            <w:tcW w:w="1134" w:type="dxa"/>
            <w:vMerge w:val="restart"/>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预案管理</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37</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安排有关环境应急预案的培训和演练</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对预案培训、演练进行总体安排</w:t>
            </w:r>
          </w:p>
        </w:tc>
      </w:tr>
      <w:tr w:rsidR="00AB41AC" w:rsidTr="00A61CB5">
        <w:trPr>
          <w:trHeight w:val="930"/>
          <w:jc w:val="center"/>
        </w:trPr>
        <w:tc>
          <w:tcPr>
            <w:tcW w:w="1134" w:type="dxa"/>
            <w:vMerge/>
            <w:vAlign w:val="center"/>
          </w:tcPr>
          <w:p w:rsidR="00AB41AC" w:rsidRDefault="00AB41AC" w:rsidP="00A61CB5">
            <w:pPr>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38</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明确环境应急预案的评估修订要求</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对预案评估修订进行总体安排</w:t>
            </w:r>
          </w:p>
        </w:tc>
      </w:tr>
      <w:tr w:rsidR="00AB41AC" w:rsidTr="00A61CB5">
        <w:trPr>
          <w:trHeight w:val="525"/>
          <w:jc w:val="center"/>
        </w:trPr>
        <w:tc>
          <w:tcPr>
            <w:tcW w:w="13781" w:type="dxa"/>
            <w:gridSpan w:val="8"/>
            <w:vAlign w:val="center"/>
          </w:tcPr>
          <w:p w:rsidR="00AB41AC" w:rsidRDefault="00AB41AC" w:rsidP="00A61CB5">
            <w:pPr>
              <w:adjustRightInd w:val="0"/>
              <w:snapToGrid w:val="0"/>
              <w:jc w:val="center"/>
              <w:rPr>
                <w:rFonts w:ascii="黑体" w:eastAsia="黑体" w:hAnsi="黑体"/>
                <w:sz w:val="21"/>
                <w:szCs w:val="21"/>
              </w:rPr>
            </w:pPr>
            <w:r>
              <w:rPr>
                <w:rFonts w:ascii="黑体" w:eastAsia="黑体" w:hAnsi="黑体" w:hint="eastAsia"/>
                <w:sz w:val="21"/>
                <w:szCs w:val="21"/>
              </w:rPr>
              <w:t>环境风险评估报告</w:t>
            </w:r>
          </w:p>
        </w:tc>
      </w:tr>
      <w:tr w:rsidR="00AB41AC" w:rsidTr="00A61CB5">
        <w:trPr>
          <w:trHeight w:val="1237"/>
          <w:jc w:val="center"/>
        </w:trPr>
        <w:tc>
          <w:tcPr>
            <w:tcW w:w="1134" w:type="dxa"/>
            <w:vMerge w:val="restart"/>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风险分析</w:t>
            </w:r>
            <w:r>
              <w:rPr>
                <w:rFonts w:ascii="宋体" w:eastAsia="宋体" w:hAnsi="宋体" w:hint="eastAsia"/>
                <w:sz w:val="21"/>
                <w:szCs w:val="21"/>
                <w:vertAlign w:val="superscript"/>
              </w:rPr>
              <w:t>c</w:t>
            </w:r>
          </w:p>
        </w:tc>
        <w:tc>
          <w:tcPr>
            <w:tcW w:w="426" w:type="dxa"/>
            <w:vAlign w:val="center"/>
          </w:tcPr>
          <w:p w:rsidR="00AB41AC" w:rsidRDefault="00AB41AC" w:rsidP="00A61CB5">
            <w:pPr>
              <w:pStyle w:val="10"/>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39</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识别出所有重要的环境风险物质；列表，至少列出重要环境风险物质的名称、数量（最大存在总量）、位置</w:t>
            </w:r>
            <w:r>
              <w:rPr>
                <w:rFonts w:ascii="宋体" w:eastAsia="宋体" w:hAnsi="宋体"/>
                <w:sz w:val="21"/>
                <w:szCs w:val="21"/>
              </w:rPr>
              <w:t>/</w:t>
            </w:r>
            <w:r>
              <w:rPr>
                <w:rFonts w:ascii="宋体" w:eastAsia="宋体" w:hAnsi="宋体" w:hint="eastAsia"/>
                <w:sz w:val="21"/>
                <w:szCs w:val="21"/>
              </w:rPr>
              <w:t>所在装置；环境风险物质数量大于临界量的，辨识重要环境风险单元</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对照企业突发环境事件风险评估相关文件，识别出所有重要的物质；对于数量大于临界量的，应辨识环境风险物质在企业哪些环境风险单元集中分布</w:t>
            </w:r>
          </w:p>
        </w:tc>
      </w:tr>
      <w:tr w:rsidR="00AB41AC" w:rsidTr="00A61CB5">
        <w:trPr>
          <w:trHeight w:val="972"/>
          <w:jc w:val="center"/>
        </w:trPr>
        <w:tc>
          <w:tcPr>
            <w:tcW w:w="1134" w:type="dxa"/>
            <w:vMerge/>
            <w:vAlign w:val="center"/>
          </w:tcPr>
          <w:p w:rsidR="00AB41AC" w:rsidRDefault="00AB41AC" w:rsidP="00A61CB5">
            <w:pPr>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40</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重点核对生产工艺、环境风险防控措施各项指标的赋值是否合理</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按照企业突发环境事件风险评估相关文件</w:t>
            </w:r>
            <w:proofErr w:type="gramStart"/>
            <w:r>
              <w:rPr>
                <w:rFonts w:ascii="宋体" w:eastAsia="宋体" w:hAnsi="宋体" w:hint="eastAsia"/>
                <w:sz w:val="21"/>
                <w:szCs w:val="21"/>
              </w:rPr>
              <w:t>的赋分规则</w:t>
            </w:r>
            <w:proofErr w:type="gramEnd"/>
            <w:r>
              <w:rPr>
                <w:rFonts w:ascii="宋体" w:eastAsia="宋体" w:hAnsi="宋体" w:hint="eastAsia"/>
                <w:sz w:val="21"/>
                <w:szCs w:val="21"/>
              </w:rPr>
              <w:t>审查</w:t>
            </w:r>
          </w:p>
        </w:tc>
      </w:tr>
      <w:tr w:rsidR="00AB41AC" w:rsidTr="00A61CB5">
        <w:trPr>
          <w:trHeight w:val="818"/>
          <w:jc w:val="center"/>
        </w:trPr>
        <w:tc>
          <w:tcPr>
            <w:tcW w:w="1134" w:type="dxa"/>
            <w:vMerge/>
            <w:vAlign w:val="center"/>
          </w:tcPr>
          <w:p w:rsidR="00AB41AC" w:rsidRDefault="00AB41AC" w:rsidP="00A61CB5"/>
        </w:tc>
        <w:tc>
          <w:tcPr>
            <w:tcW w:w="426"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41</w:t>
            </w:r>
          </w:p>
        </w:tc>
        <w:tc>
          <w:tcPr>
            <w:tcW w:w="4819"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环境风险受体类型的确定是否合理</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按照企业突发环境事件风险评估相关文件的受体划分依据审查</w:t>
            </w:r>
          </w:p>
        </w:tc>
      </w:tr>
      <w:tr w:rsidR="00AB41AC" w:rsidTr="00A61CB5">
        <w:trPr>
          <w:trHeight w:val="693"/>
          <w:jc w:val="center"/>
        </w:trPr>
        <w:tc>
          <w:tcPr>
            <w:tcW w:w="1134" w:type="dxa"/>
            <w:vMerge/>
            <w:vAlign w:val="center"/>
          </w:tcPr>
          <w:p w:rsidR="00AB41AC" w:rsidRDefault="00AB41AC" w:rsidP="00A61CB5"/>
        </w:tc>
        <w:tc>
          <w:tcPr>
            <w:tcW w:w="426"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42</w:t>
            </w:r>
          </w:p>
        </w:tc>
        <w:tc>
          <w:tcPr>
            <w:tcW w:w="4819"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环境风险等级划分是否正确</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2</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按照企业突发环境事件风险评估相关文件审查</w:t>
            </w:r>
          </w:p>
        </w:tc>
      </w:tr>
      <w:tr w:rsidR="00AB41AC" w:rsidTr="00A61CB5">
        <w:trPr>
          <w:trHeight w:val="1378"/>
          <w:jc w:val="center"/>
        </w:trPr>
        <w:tc>
          <w:tcPr>
            <w:tcW w:w="1134" w:type="dxa"/>
            <w:vMerge w:val="restart"/>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lastRenderedPageBreak/>
              <w:t>情景构建</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43</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列明国内外同类企业的突发环境事件信息，提出本企业可能发生的突发环境事件情景</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1</w:t>
            </w:r>
          </w:p>
        </w:tc>
        <w:tc>
          <w:tcPr>
            <w:tcW w:w="669" w:type="dxa"/>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列表说明事件的日期、地点、引发原因、事件影响等内容，按照企业突发环境事件风险评估相关文件，结合企业实际列出事件情景</w:t>
            </w:r>
          </w:p>
        </w:tc>
      </w:tr>
      <w:tr w:rsidR="00AB41AC" w:rsidTr="00A61CB5">
        <w:trPr>
          <w:trHeight w:val="1532"/>
          <w:jc w:val="center"/>
        </w:trPr>
        <w:tc>
          <w:tcPr>
            <w:tcW w:w="1134" w:type="dxa"/>
            <w:vMerge/>
            <w:vAlign w:val="center"/>
          </w:tcPr>
          <w:p w:rsidR="00AB41AC" w:rsidRDefault="00AB41AC" w:rsidP="00A61CB5">
            <w:pPr>
              <w:keepNext/>
              <w:keepLines/>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44</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源强分析，重点分析释放环境风险物质的种类、释放速率、持续时间</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1</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针对每种典型事件情景进行源强分析，至少包括释放环境风险物质的种类、释放速率、持续时间三个要素，可以参考《建设项目环境风险评价技术导则》</w:t>
            </w:r>
          </w:p>
        </w:tc>
      </w:tr>
      <w:tr w:rsidR="00AB41AC" w:rsidTr="00A61CB5">
        <w:trPr>
          <w:trHeight w:val="1489"/>
          <w:jc w:val="center"/>
        </w:trPr>
        <w:tc>
          <w:tcPr>
            <w:tcW w:w="1134" w:type="dxa"/>
            <w:vMerge/>
            <w:vAlign w:val="center"/>
          </w:tcPr>
          <w:p w:rsidR="00AB41AC" w:rsidRDefault="00AB41AC" w:rsidP="00A61CB5">
            <w:pPr>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45</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释放途径分析，重点分析环境风险物质从释放源头到受体之间的过程</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1</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对于可能造成水污染的，分析环境风险物质从释放源头，经厂界内到厂界外，最终影响到环境风险受体的可能的路径；对于可能造成大气污染的，分析从泄漏源头释放</w:t>
            </w:r>
            <w:proofErr w:type="gramStart"/>
            <w:r>
              <w:rPr>
                <w:rFonts w:ascii="宋体" w:eastAsia="宋体" w:hAnsi="宋体" w:hint="eastAsia"/>
                <w:sz w:val="21"/>
                <w:szCs w:val="21"/>
              </w:rPr>
              <w:t>至风险</w:t>
            </w:r>
            <w:proofErr w:type="gramEnd"/>
            <w:r>
              <w:rPr>
                <w:rFonts w:ascii="宋体" w:eastAsia="宋体" w:hAnsi="宋体" w:hint="eastAsia"/>
                <w:sz w:val="21"/>
                <w:szCs w:val="21"/>
              </w:rPr>
              <w:t>受体的路径</w:t>
            </w:r>
          </w:p>
        </w:tc>
      </w:tr>
      <w:tr w:rsidR="00AB41AC" w:rsidTr="00A61CB5">
        <w:trPr>
          <w:trHeight w:val="1098"/>
          <w:jc w:val="center"/>
        </w:trPr>
        <w:tc>
          <w:tcPr>
            <w:tcW w:w="1134" w:type="dxa"/>
            <w:vMerge/>
            <w:vAlign w:val="center"/>
          </w:tcPr>
          <w:p w:rsidR="00AB41AC" w:rsidRDefault="00AB41AC" w:rsidP="00A61CB5">
            <w:pPr>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46</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危害后果分析，重点分析环境风险物质的影响范围和程度</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1</w:t>
            </w:r>
          </w:p>
        </w:tc>
        <w:tc>
          <w:tcPr>
            <w:tcW w:w="669" w:type="dxa"/>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针对每种情景的重点环境风险物质，计算浓度分布情况，说明影响范围和程度</w:t>
            </w:r>
          </w:p>
        </w:tc>
      </w:tr>
      <w:tr w:rsidR="00AB41AC" w:rsidTr="00A61CB5">
        <w:trPr>
          <w:trHeight w:val="90"/>
          <w:jc w:val="center"/>
        </w:trPr>
        <w:tc>
          <w:tcPr>
            <w:tcW w:w="1134" w:type="dxa"/>
            <w:vMerge/>
            <w:vAlign w:val="center"/>
          </w:tcPr>
          <w:p w:rsidR="00AB41AC" w:rsidRDefault="00AB41AC" w:rsidP="00A61CB5">
            <w:pPr>
              <w:keepNext/>
              <w:keepLines/>
              <w:adjustRightInd w:val="0"/>
              <w:snapToGrid w:val="0"/>
              <w:jc w:val="center"/>
              <w:rPr>
                <w:rFonts w:ascii="宋体" w:eastAsia="宋体" w:hAnsi="宋体"/>
                <w:sz w:val="21"/>
                <w:szCs w:val="21"/>
              </w:rPr>
            </w:pP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47</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明确在最坏情景下，大气环境风险物质影响最远距离内的人口数量及位置等，水环境敏感受体的数量及位置等信息，并附有相关示意图</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607" w:type="dxa"/>
            <w:gridSpan w:val="2"/>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1</w:t>
            </w:r>
          </w:p>
        </w:tc>
        <w:tc>
          <w:tcPr>
            <w:tcW w:w="669" w:type="dxa"/>
          </w:tcPr>
          <w:p w:rsidR="00AB41AC" w:rsidRDefault="00AB41AC" w:rsidP="00A61CB5">
            <w:pPr>
              <w:adjustRightInd w:val="0"/>
              <w:snapToGrid w:val="0"/>
              <w:rPr>
                <w:rFonts w:ascii="宋体" w:eastAsia="宋体" w:hAnsi="宋体"/>
                <w:sz w:val="21"/>
                <w:szCs w:val="21"/>
              </w:rPr>
            </w:pPr>
          </w:p>
        </w:tc>
        <w:tc>
          <w:tcPr>
            <w:tcW w:w="4850"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针对最坏情景的计算结果，列出受影响的大气和水环境保护目标，附图</w:t>
            </w:r>
            <w:proofErr w:type="gramStart"/>
            <w:r>
              <w:rPr>
                <w:rFonts w:ascii="宋体" w:eastAsia="宋体" w:hAnsi="宋体" w:hint="eastAsia"/>
                <w:sz w:val="21"/>
                <w:szCs w:val="21"/>
              </w:rPr>
              <w:t>示说明</w:t>
            </w:r>
            <w:proofErr w:type="gramEnd"/>
          </w:p>
        </w:tc>
      </w:tr>
      <w:tr w:rsidR="00AB41AC" w:rsidTr="00A61CB5">
        <w:trPr>
          <w:trHeight w:val="1433"/>
          <w:jc w:val="center"/>
        </w:trPr>
        <w:tc>
          <w:tcPr>
            <w:tcW w:w="1134"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完善计划</w:t>
            </w:r>
          </w:p>
        </w:tc>
        <w:tc>
          <w:tcPr>
            <w:tcW w:w="426" w:type="dxa"/>
            <w:vAlign w:val="center"/>
          </w:tcPr>
          <w:p w:rsidR="00AB41AC" w:rsidRDefault="00AB41AC" w:rsidP="00A61CB5">
            <w:pPr>
              <w:pStyle w:val="10"/>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48</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分析现有环境风险防控与应急措施所存在的差距，制定环境风险防控整改完善计划</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1</w:t>
            </w:r>
          </w:p>
        </w:tc>
        <w:tc>
          <w:tcPr>
            <w:tcW w:w="669" w:type="dxa"/>
          </w:tcPr>
          <w:p w:rsidR="00AB41AC" w:rsidRDefault="00AB41AC" w:rsidP="00A61CB5">
            <w:pPr>
              <w:keepNext/>
              <w:keepLines/>
              <w:adjustRightInd w:val="0"/>
              <w:snapToGrid w:val="0"/>
              <w:rPr>
                <w:rFonts w:ascii="宋体" w:eastAsia="宋体" w:hAnsi="宋体"/>
                <w:sz w:val="21"/>
                <w:szCs w:val="21"/>
              </w:rPr>
            </w:pPr>
          </w:p>
        </w:tc>
        <w:tc>
          <w:tcPr>
            <w:tcW w:w="4850" w:type="dxa"/>
            <w:vAlign w:val="center"/>
          </w:tcPr>
          <w:p w:rsid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对现有环境风险防控与应急措施的完备性、可靠性和有效性进行分析论证，找出差距、问题。针对需要整改的短期、中期和长期项目，分别制定完善环境风险防控和应急措施的实施计划</w:t>
            </w:r>
          </w:p>
        </w:tc>
      </w:tr>
      <w:tr w:rsidR="00AB41AC" w:rsidTr="00A61CB5">
        <w:trPr>
          <w:trHeight w:val="567"/>
          <w:jc w:val="center"/>
        </w:trPr>
        <w:tc>
          <w:tcPr>
            <w:tcW w:w="13781" w:type="dxa"/>
            <w:gridSpan w:val="8"/>
            <w:vAlign w:val="center"/>
          </w:tcPr>
          <w:p w:rsidR="00AB41AC" w:rsidRDefault="00AB41AC" w:rsidP="00A61CB5">
            <w:pPr>
              <w:adjustRightInd w:val="0"/>
              <w:snapToGrid w:val="0"/>
              <w:jc w:val="center"/>
              <w:rPr>
                <w:rFonts w:ascii="黑体" w:eastAsia="黑体" w:hAnsi="黑体"/>
                <w:sz w:val="21"/>
                <w:szCs w:val="21"/>
              </w:rPr>
            </w:pPr>
            <w:r>
              <w:rPr>
                <w:rFonts w:ascii="黑体" w:eastAsia="黑体" w:hAnsi="黑体" w:hint="eastAsia"/>
                <w:sz w:val="21"/>
                <w:szCs w:val="21"/>
              </w:rPr>
              <w:t>环境应急资源调查报告（表）</w:t>
            </w:r>
          </w:p>
        </w:tc>
      </w:tr>
      <w:tr w:rsidR="00AB41AC" w:rsidTr="00A61CB5">
        <w:trPr>
          <w:trHeight w:val="1713"/>
          <w:jc w:val="center"/>
        </w:trPr>
        <w:tc>
          <w:tcPr>
            <w:tcW w:w="1134"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lastRenderedPageBreak/>
              <w:t>调查内容</w:t>
            </w:r>
          </w:p>
        </w:tc>
        <w:tc>
          <w:tcPr>
            <w:tcW w:w="426" w:type="dxa"/>
            <w:vAlign w:val="center"/>
          </w:tcPr>
          <w:p w:rsidR="00AB41AC" w:rsidRDefault="00AB41AC" w:rsidP="00A61CB5">
            <w:pPr>
              <w:pStyle w:val="10"/>
              <w:keepNext/>
              <w:keepLines/>
              <w:tabs>
                <w:tab w:val="left" w:pos="0"/>
              </w:tab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49</w:t>
            </w:r>
          </w:p>
        </w:tc>
        <w:tc>
          <w:tcPr>
            <w:tcW w:w="4819" w:type="dxa"/>
            <w:vAlign w:val="center"/>
          </w:tcPr>
          <w:p w:rsidR="00AB41AC" w:rsidRDefault="00AB41AC" w:rsidP="00A61CB5">
            <w:pPr>
              <w:adjustRightInd w:val="0"/>
              <w:snapToGrid w:val="0"/>
              <w:jc w:val="left"/>
              <w:rPr>
                <w:rFonts w:ascii="宋体" w:eastAsia="宋体" w:hAnsi="宋体"/>
                <w:spacing w:val="-2"/>
                <w:sz w:val="21"/>
                <w:szCs w:val="21"/>
              </w:rPr>
            </w:pPr>
            <w:r>
              <w:rPr>
                <w:rFonts w:ascii="宋体" w:eastAsia="宋体" w:hAnsi="宋体" w:hint="eastAsia"/>
                <w:spacing w:val="-2"/>
                <w:sz w:val="21"/>
                <w:szCs w:val="21"/>
              </w:rPr>
              <w:t>第一时间可调用的环境应急队伍、装备、物资、场所</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□部分符合</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□不符合</w:t>
            </w:r>
          </w:p>
        </w:tc>
        <w:tc>
          <w:tcPr>
            <w:tcW w:w="607" w:type="dxa"/>
            <w:gridSpan w:val="2"/>
            <w:vAlign w:val="center"/>
          </w:tcPr>
          <w:p w:rsidR="00AB41AC" w:rsidRDefault="00AB41AC" w:rsidP="00A61CB5">
            <w:pPr>
              <w:keepNext/>
              <w:keepLines/>
              <w:adjustRightInd w:val="0"/>
              <w:snapToGrid w:val="0"/>
              <w:jc w:val="center"/>
              <w:rPr>
                <w:rFonts w:ascii="宋体" w:eastAsia="宋体" w:hAnsi="宋体"/>
                <w:sz w:val="21"/>
                <w:szCs w:val="21"/>
              </w:rPr>
            </w:pPr>
            <w:r>
              <w:rPr>
                <w:rFonts w:ascii="宋体" w:eastAsia="宋体" w:hAnsi="宋体" w:hint="eastAsia"/>
                <w:sz w:val="21"/>
                <w:szCs w:val="21"/>
              </w:rPr>
              <w:t>2</w:t>
            </w:r>
          </w:p>
        </w:tc>
        <w:tc>
          <w:tcPr>
            <w:tcW w:w="669" w:type="dxa"/>
            <w:vAlign w:val="center"/>
          </w:tcPr>
          <w:p w:rsidR="00AB41AC" w:rsidRDefault="00AB41AC" w:rsidP="00A61CB5">
            <w:pPr>
              <w:keepNext/>
              <w:keepLines/>
              <w:adjustRightInd w:val="0"/>
              <w:snapToGrid w:val="0"/>
              <w:jc w:val="center"/>
              <w:rPr>
                <w:rFonts w:ascii="宋体" w:eastAsia="宋体" w:hAnsi="宋体"/>
                <w:sz w:val="21"/>
                <w:szCs w:val="21"/>
              </w:rPr>
            </w:pPr>
          </w:p>
        </w:tc>
        <w:tc>
          <w:tcPr>
            <w:tcW w:w="4850" w:type="dxa"/>
            <w:vAlign w:val="center"/>
          </w:tcPr>
          <w:p w:rsidR="00AB41AC" w:rsidRDefault="00AB41AC" w:rsidP="00A61CB5">
            <w:pPr>
              <w:keepNext/>
              <w:keepLines/>
              <w:adjustRightInd w:val="0"/>
              <w:snapToGrid w:val="0"/>
              <w:jc w:val="left"/>
              <w:rPr>
                <w:rFonts w:ascii="宋体" w:eastAsia="宋体" w:hAnsi="宋体"/>
                <w:sz w:val="21"/>
                <w:szCs w:val="21"/>
              </w:rPr>
            </w:pPr>
            <w:r>
              <w:rPr>
                <w:rFonts w:ascii="宋体" w:eastAsia="宋体" w:hAnsi="宋体" w:hint="eastAsia"/>
                <w:sz w:val="21"/>
                <w:szCs w:val="21"/>
              </w:rPr>
              <w:t>重点调查可以直接使用的环境应急资源，包括：专职和兼职应急队伍；自储、代储、协议储备的环境应急装备；自储、代储、协议储备环境应急物资；应急处置场所、应急物资或装备存放场所、应急指挥场所。预案中的应急措施使用的环境应急资源与现有资源一致</w:t>
            </w:r>
          </w:p>
        </w:tc>
      </w:tr>
      <w:tr w:rsidR="00AB41AC" w:rsidTr="00A61CB5">
        <w:trPr>
          <w:trHeight w:val="1042"/>
          <w:jc w:val="center"/>
        </w:trPr>
        <w:tc>
          <w:tcPr>
            <w:tcW w:w="1134" w:type="dxa"/>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调查结果</w:t>
            </w:r>
          </w:p>
        </w:tc>
        <w:tc>
          <w:tcPr>
            <w:tcW w:w="426" w:type="dxa"/>
            <w:vAlign w:val="center"/>
          </w:tcPr>
          <w:p w:rsidR="00AB41AC" w:rsidRDefault="00AB41AC" w:rsidP="00A61CB5">
            <w:pPr>
              <w:pStyle w:val="10"/>
              <w:keepNext/>
              <w:keepLines/>
              <w:adjustRightInd w:val="0"/>
              <w:snapToGrid w:val="0"/>
              <w:ind w:firstLineChars="0" w:firstLine="0"/>
              <w:jc w:val="center"/>
              <w:rPr>
                <w:rFonts w:ascii="宋体" w:eastAsia="宋体" w:hAnsi="宋体"/>
                <w:sz w:val="21"/>
                <w:szCs w:val="21"/>
              </w:rPr>
            </w:pPr>
            <w:r>
              <w:rPr>
                <w:rFonts w:ascii="宋体" w:eastAsia="宋体" w:hAnsi="宋体" w:hint="eastAsia"/>
                <w:sz w:val="21"/>
                <w:szCs w:val="21"/>
              </w:rPr>
              <w:t>50</w:t>
            </w:r>
          </w:p>
        </w:tc>
        <w:tc>
          <w:tcPr>
            <w:tcW w:w="4819"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针对环境应急资源清单，抽查数据的可信性</w:t>
            </w:r>
          </w:p>
        </w:tc>
        <w:tc>
          <w:tcPr>
            <w:tcW w:w="1276" w:type="dxa"/>
            <w:vAlign w:val="center"/>
          </w:tcPr>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r>
              <w:rPr>
                <w:rFonts w:ascii="宋体" w:eastAsia="宋体" w:hAnsi="宋体"/>
                <w:sz w:val="21"/>
                <w:szCs w:val="21"/>
              </w:rPr>
              <w:t xml:space="preserve"> </w:t>
            </w:r>
          </w:p>
          <w:p w:rsidR="00AB41AC" w:rsidRDefault="00AB41AC" w:rsidP="00A61CB5">
            <w:pPr>
              <w:adjustRightInd w:val="0"/>
              <w:snapToGrid w:val="0"/>
              <w:rPr>
                <w:rFonts w:ascii="宋体" w:eastAsia="宋体" w:hAnsi="宋体"/>
                <w:sz w:val="21"/>
                <w:szCs w:val="21"/>
              </w:rPr>
            </w:pPr>
            <w:r>
              <w:rPr>
                <w:rFonts w:ascii="宋体" w:eastAsia="宋体" w:hAnsi="宋体" w:hint="eastAsia"/>
                <w:sz w:val="21"/>
                <w:szCs w:val="21"/>
              </w:rPr>
              <w:t>□部分符合</w:t>
            </w:r>
          </w:p>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□不符合</w:t>
            </w:r>
          </w:p>
        </w:tc>
        <w:tc>
          <w:tcPr>
            <w:tcW w:w="607" w:type="dxa"/>
            <w:gridSpan w:val="2"/>
            <w:vAlign w:val="center"/>
          </w:tcPr>
          <w:p w:rsidR="00AB41AC" w:rsidRDefault="00AB41AC" w:rsidP="00A61CB5">
            <w:pPr>
              <w:adjustRightInd w:val="0"/>
              <w:snapToGrid w:val="0"/>
              <w:jc w:val="center"/>
              <w:rPr>
                <w:rFonts w:ascii="宋体" w:eastAsia="宋体" w:hAnsi="宋体"/>
                <w:sz w:val="21"/>
                <w:szCs w:val="21"/>
              </w:rPr>
            </w:pPr>
            <w:r>
              <w:rPr>
                <w:rFonts w:ascii="宋体" w:eastAsia="宋体" w:hAnsi="宋体" w:hint="eastAsia"/>
                <w:sz w:val="21"/>
                <w:szCs w:val="21"/>
              </w:rPr>
              <w:t>2</w:t>
            </w:r>
          </w:p>
        </w:tc>
        <w:tc>
          <w:tcPr>
            <w:tcW w:w="669" w:type="dxa"/>
            <w:vAlign w:val="center"/>
          </w:tcPr>
          <w:p w:rsidR="00AB41AC" w:rsidRDefault="00AB41AC" w:rsidP="00A61CB5">
            <w:pPr>
              <w:adjustRightInd w:val="0"/>
              <w:snapToGrid w:val="0"/>
              <w:jc w:val="center"/>
              <w:rPr>
                <w:rFonts w:ascii="宋体" w:eastAsia="宋体" w:hAnsi="宋体"/>
                <w:sz w:val="21"/>
                <w:szCs w:val="21"/>
              </w:rPr>
            </w:pPr>
          </w:p>
        </w:tc>
        <w:tc>
          <w:tcPr>
            <w:tcW w:w="4850" w:type="dxa"/>
            <w:vAlign w:val="center"/>
          </w:tcPr>
          <w:p w:rsidR="00AB41AC" w:rsidRDefault="00AB41AC" w:rsidP="00A61CB5">
            <w:pPr>
              <w:adjustRightInd w:val="0"/>
              <w:snapToGrid w:val="0"/>
              <w:jc w:val="left"/>
              <w:rPr>
                <w:rFonts w:ascii="宋体" w:eastAsia="宋体" w:hAnsi="宋体"/>
                <w:sz w:val="21"/>
                <w:szCs w:val="21"/>
              </w:rPr>
            </w:pPr>
            <w:r>
              <w:rPr>
                <w:rFonts w:ascii="宋体" w:eastAsia="宋体" w:hAnsi="宋体" w:hint="eastAsia"/>
                <w:sz w:val="21"/>
                <w:szCs w:val="21"/>
              </w:rPr>
              <w:t>通过逻辑分析、现场抽查等方式对调查数据进行查验</w:t>
            </w:r>
          </w:p>
        </w:tc>
      </w:tr>
      <w:tr w:rsidR="00AB41AC" w:rsidTr="00A61CB5">
        <w:trPr>
          <w:trHeight w:val="674"/>
          <w:jc w:val="center"/>
        </w:trPr>
        <w:tc>
          <w:tcPr>
            <w:tcW w:w="7655" w:type="dxa"/>
            <w:gridSpan w:val="4"/>
            <w:vAlign w:val="center"/>
          </w:tcPr>
          <w:p w:rsidR="00AB41AC" w:rsidRDefault="00AB41AC" w:rsidP="00A61CB5">
            <w:pPr>
              <w:adjustRightInd w:val="0"/>
              <w:snapToGrid w:val="0"/>
              <w:jc w:val="center"/>
              <w:rPr>
                <w:rFonts w:ascii="宋体" w:eastAsia="宋体" w:hAnsi="宋体"/>
                <w:b/>
                <w:sz w:val="21"/>
                <w:szCs w:val="21"/>
              </w:rPr>
            </w:pPr>
            <w:r>
              <w:rPr>
                <w:rFonts w:ascii="宋体" w:eastAsia="宋体" w:hAnsi="宋体" w:hint="eastAsia"/>
                <w:b/>
                <w:sz w:val="21"/>
                <w:szCs w:val="21"/>
              </w:rPr>
              <w:t>合  计</w:t>
            </w:r>
          </w:p>
        </w:tc>
        <w:tc>
          <w:tcPr>
            <w:tcW w:w="607" w:type="dxa"/>
            <w:gridSpan w:val="2"/>
            <w:vAlign w:val="center"/>
          </w:tcPr>
          <w:p w:rsidR="00AB41AC" w:rsidRDefault="00AB41AC" w:rsidP="00A61CB5">
            <w:pPr>
              <w:adjustRightInd w:val="0"/>
              <w:snapToGrid w:val="0"/>
              <w:jc w:val="center"/>
              <w:rPr>
                <w:rFonts w:ascii="宋体" w:eastAsia="宋体" w:hAnsi="宋体"/>
                <w:b/>
                <w:sz w:val="21"/>
                <w:szCs w:val="21"/>
              </w:rPr>
            </w:pPr>
            <w:r>
              <w:rPr>
                <w:rFonts w:ascii="宋体" w:eastAsia="宋体" w:hAnsi="宋体" w:hint="eastAsia"/>
                <w:b/>
                <w:sz w:val="21"/>
                <w:szCs w:val="21"/>
              </w:rPr>
              <w:t>83</w:t>
            </w:r>
          </w:p>
        </w:tc>
        <w:tc>
          <w:tcPr>
            <w:tcW w:w="669" w:type="dxa"/>
            <w:vAlign w:val="center"/>
          </w:tcPr>
          <w:p w:rsidR="00AB41AC" w:rsidRDefault="00AB41AC" w:rsidP="00A61CB5">
            <w:pPr>
              <w:adjustRightInd w:val="0"/>
              <w:snapToGrid w:val="0"/>
              <w:jc w:val="center"/>
              <w:rPr>
                <w:rFonts w:ascii="宋体" w:eastAsia="宋体" w:hAnsi="宋体"/>
                <w:b/>
                <w:sz w:val="21"/>
                <w:szCs w:val="21"/>
              </w:rPr>
            </w:pPr>
            <w:r>
              <w:rPr>
                <w:rFonts w:ascii="宋体" w:eastAsia="宋体" w:hAnsi="宋体" w:hint="eastAsia"/>
                <w:b/>
                <w:sz w:val="21"/>
                <w:szCs w:val="21"/>
              </w:rPr>
              <w:t>-</w:t>
            </w:r>
          </w:p>
        </w:tc>
        <w:tc>
          <w:tcPr>
            <w:tcW w:w="4850" w:type="dxa"/>
            <w:vAlign w:val="center"/>
          </w:tcPr>
          <w:p w:rsidR="00AB41AC" w:rsidRDefault="00AB41AC" w:rsidP="00A61CB5">
            <w:pPr>
              <w:adjustRightInd w:val="0"/>
              <w:snapToGrid w:val="0"/>
              <w:jc w:val="center"/>
              <w:rPr>
                <w:rFonts w:ascii="宋体" w:eastAsia="宋体" w:hAnsi="宋体"/>
                <w:b/>
                <w:sz w:val="21"/>
                <w:szCs w:val="21"/>
              </w:rPr>
            </w:pPr>
            <w:r>
              <w:rPr>
                <w:rFonts w:ascii="宋体" w:eastAsia="宋体" w:hAnsi="宋体" w:hint="eastAsia"/>
                <w:b/>
                <w:sz w:val="21"/>
                <w:szCs w:val="21"/>
              </w:rPr>
              <w:t>-</w:t>
            </w:r>
          </w:p>
        </w:tc>
      </w:tr>
      <w:tr w:rsidR="00AB41AC" w:rsidTr="00A61CB5">
        <w:trPr>
          <w:trHeight w:val="1042"/>
          <w:jc w:val="center"/>
        </w:trPr>
        <w:tc>
          <w:tcPr>
            <w:tcW w:w="13781" w:type="dxa"/>
            <w:gridSpan w:val="8"/>
            <w:vAlign w:val="center"/>
          </w:tcPr>
          <w:p w:rsidR="00AB41AC" w:rsidRPr="00AB41AC" w:rsidRDefault="00AB41AC" w:rsidP="00A61CB5">
            <w:pPr>
              <w:keepNext/>
              <w:keepLines/>
              <w:adjustRightInd w:val="0"/>
              <w:snapToGrid w:val="0"/>
              <w:rPr>
                <w:rFonts w:ascii="宋体" w:eastAsia="宋体" w:hAnsi="宋体"/>
                <w:sz w:val="21"/>
                <w:szCs w:val="21"/>
              </w:rPr>
            </w:pPr>
            <w:r>
              <w:rPr>
                <w:rFonts w:ascii="宋体" w:eastAsia="宋体" w:hAnsi="宋体" w:hint="eastAsia"/>
                <w:sz w:val="21"/>
                <w:szCs w:val="21"/>
              </w:rPr>
              <w:t>评审人员（签字）：</w:t>
            </w:r>
            <w:r>
              <w:rPr>
                <w:rFonts w:ascii="仿宋_GB2312" w:hint="eastAsia"/>
                <w:noProof/>
                <w:sz w:val="30"/>
                <w:szCs w:val="30"/>
              </w:rPr>
              <w:drawing>
                <wp:inline distT="0" distB="0" distL="0" distR="0" wp14:anchorId="09A1D7E9" wp14:editId="20E4ACAF">
                  <wp:extent cx="962025" cy="447675"/>
                  <wp:effectExtent l="0" t="0" r="9525" b="9525"/>
                  <wp:docPr id="6" name="图片 6"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2025" cy="447675"/>
                          </a:xfrm>
                          <a:prstGeom prst="rect">
                            <a:avLst/>
                          </a:prstGeom>
                          <a:noFill/>
                          <a:ln>
                            <a:noFill/>
                          </a:ln>
                        </pic:spPr>
                      </pic:pic>
                    </a:graphicData>
                  </a:graphic>
                </wp:inline>
              </w:drawing>
            </w:r>
            <w:r>
              <w:rPr>
                <w:noProof/>
              </w:rPr>
              <w:drawing>
                <wp:inline distT="0" distB="0" distL="0" distR="0" wp14:anchorId="3D8E1F5D" wp14:editId="10560FA0">
                  <wp:extent cx="1152525" cy="4191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2525" cy="419100"/>
                          </a:xfrm>
                          <a:prstGeom prst="rect">
                            <a:avLst/>
                          </a:prstGeom>
                          <a:noFill/>
                          <a:ln>
                            <a:noFill/>
                          </a:ln>
                        </pic:spPr>
                      </pic:pic>
                    </a:graphicData>
                  </a:graphic>
                </wp:inline>
              </w:drawing>
            </w:r>
            <w:r>
              <w:rPr>
                <w:rFonts w:ascii="宋体" w:eastAsia="宋体" w:hAnsi="宋体"/>
                <w:noProof/>
                <w:sz w:val="24"/>
                <w:szCs w:val="24"/>
              </w:rPr>
              <w:drawing>
                <wp:inline distT="0" distB="0" distL="0" distR="0" wp14:anchorId="4D8502D6" wp14:editId="02CAA416">
                  <wp:extent cx="923290" cy="4984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3290" cy="498475"/>
                          </a:xfrm>
                          <a:prstGeom prst="rect">
                            <a:avLst/>
                          </a:prstGeom>
                          <a:noFill/>
                          <a:ln>
                            <a:noFill/>
                          </a:ln>
                        </pic:spPr>
                      </pic:pic>
                    </a:graphicData>
                  </a:graphic>
                </wp:inline>
              </w:drawing>
            </w:r>
          </w:p>
          <w:p w:rsidR="00AB41AC" w:rsidRDefault="00AB41AC" w:rsidP="00AB41AC">
            <w:pPr>
              <w:keepNext/>
              <w:keepLines/>
              <w:adjustRightInd w:val="0"/>
              <w:snapToGrid w:val="0"/>
              <w:rPr>
                <w:rFonts w:ascii="宋体" w:eastAsia="宋体" w:hAnsi="宋体"/>
                <w:sz w:val="21"/>
                <w:szCs w:val="21"/>
              </w:rPr>
            </w:pPr>
            <w:r>
              <w:rPr>
                <w:rFonts w:ascii="宋体" w:eastAsia="宋体" w:hAnsi="宋体" w:hint="eastAsia"/>
                <w:sz w:val="21"/>
                <w:szCs w:val="21"/>
              </w:rPr>
              <w:t xml:space="preserve">                                                                                         评审日期： </w:t>
            </w:r>
            <w:r>
              <w:rPr>
                <w:rFonts w:ascii="宋体" w:eastAsia="宋体" w:hAnsi="宋体"/>
                <w:sz w:val="21"/>
                <w:szCs w:val="21"/>
              </w:rPr>
              <w:t xml:space="preserve">    </w:t>
            </w:r>
            <w:r>
              <w:rPr>
                <w:rFonts w:ascii="宋体" w:eastAsia="宋体" w:hAnsi="宋体" w:hint="eastAsia"/>
                <w:sz w:val="21"/>
                <w:szCs w:val="21"/>
              </w:rPr>
              <w:t>2021</w:t>
            </w:r>
            <w:r>
              <w:rPr>
                <w:rFonts w:ascii="宋体" w:eastAsia="宋体" w:hAnsi="宋体"/>
                <w:sz w:val="21"/>
                <w:szCs w:val="21"/>
              </w:rPr>
              <w:t xml:space="preserve"> </w:t>
            </w:r>
            <w:r>
              <w:rPr>
                <w:rFonts w:ascii="宋体" w:eastAsia="宋体" w:hAnsi="宋体" w:hint="eastAsia"/>
                <w:sz w:val="21"/>
                <w:szCs w:val="21"/>
              </w:rPr>
              <w:t xml:space="preserve">年 </w:t>
            </w:r>
            <w:r>
              <w:rPr>
                <w:rFonts w:ascii="宋体" w:eastAsia="宋体" w:hAnsi="宋体"/>
                <w:sz w:val="21"/>
                <w:szCs w:val="21"/>
              </w:rPr>
              <w:t xml:space="preserve"> </w:t>
            </w:r>
            <w:r>
              <w:rPr>
                <w:rFonts w:ascii="宋体" w:eastAsia="宋体" w:hAnsi="宋体" w:hint="eastAsia"/>
                <w:sz w:val="21"/>
                <w:szCs w:val="21"/>
              </w:rPr>
              <w:t>04月20 日</w:t>
            </w:r>
          </w:p>
        </w:tc>
      </w:tr>
    </w:tbl>
    <w:p w:rsidR="00AB41AC" w:rsidRDefault="00AB41AC" w:rsidP="00AB41AC">
      <w:pPr>
        <w:adjustRightInd w:val="0"/>
        <w:snapToGrid w:val="0"/>
        <w:spacing w:line="288" w:lineRule="auto"/>
        <w:rPr>
          <w:rFonts w:ascii="宋体" w:eastAsia="宋体" w:hAnsi="宋体"/>
          <w:sz w:val="21"/>
        </w:rPr>
      </w:pPr>
      <w:r>
        <w:rPr>
          <w:rFonts w:ascii="宋体" w:eastAsia="宋体" w:hAnsi="宋体" w:hint="eastAsia"/>
          <w:sz w:val="21"/>
        </w:rPr>
        <w:t>注：1.符合，指的是评审专家判定某一项指标所涉及的内容能够反映制定环境应急预案的企业开展了该项工作，且工作全面、深入、质量高；部分</w:t>
      </w:r>
    </w:p>
    <w:p w:rsidR="00AB41AC" w:rsidRDefault="00AB41AC" w:rsidP="00AB41AC">
      <w:pPr>
        <w:adjustRightInd w:val="0"/>
        <w:snapToGrid w:val="0"/>
        <w:spacing w:line="288" w:lineRule="auto"/>
        <w:rPr>
          <w:rFonts w:ascii="宋体" w:eastAsia="宋体" w:hAnsi="宋体"/>
          <w:sz w:val="21"/>
        </w:rPr>
      </w:pPr>
      <w:r>
        <w:rPr>
          <w:rFonts w:ascii="宋体" w:eastAsia="宋体" w:hAnsi="宋体" w:hint="eastAsia"/>
          <w:sz w:val="21"/>
        </w:rPr>
        <w:t xml:space="preserve">      符合，指的是评审专家判定企业开展了该项工作，但工作不全面、不深入或质量不高；不符合，指的是评审人员判定企业未开展该项工作，</w:t>
      </w:r>
    </w:p>
    <w:p w:rsidR="00AB41AC" w:rsidRDefault="00AB41AC" w:rsidP="00AB41AC">
      <w:pPr>
        <w:adjustRightInd w:val="0"/>
        <w:snapToGrid w:val="0"/>
        <w:spacing w:line="288" w:lineRule="auto"/>
        <w:rPr>
          <w:rFonts w:ascii="宋体" w:eastAsia="宋体" w:hAnsi="宋体"/>
          <w:sz w:val="21"/>
        </w:rPr>
      </w:pPr>
      <w:r>
        <w:rPr>
          <w:rFonts w:ascii="宋体" w:eastAsia="宋体" w:hAnsi="宋体" w:hint="eastAsia"/>
          <w:sz w:val="21"/>
        </w:rPr>
        <w:t xml:space="preserve">      或工作有重大疏漏、流于形式或质量差。</w:t>
      </w:r>
    </w:p>
    <w:p w:rsidR="00AB41AC" w:rsidRDefault="00AB41AC" w:rsidP="00AB41AC">
      <w:pPr>
        <w:adjustRightInd w:val="0"/>
        <w:snapToGrid w:val="0"/>
        <w:spacing w:line="288" w:lineRule="auto"/>
        <w:rPr>
          <w:rFonts w:ascii="宋体" w:eastAsia="宋体" w:hAnsi="宋体"/>
          <w:sz w:val="21"/>
        </w:rPr>
      </w:pPr>
      <w:r>
        <w:rPr>
          <w:rFonts w:ascii="宋体" w:eastAsia="宋体" w:hAnsi="宋体" w:hint="eastAsia"/>
          <w:sz w:val="21"/>
        </w:rPr>
        <w:t xml:space="preserve">    2.</w:t>
      </w:r>
      <w:proofErr w:type="gramStart"/>
      <w:r>
        <w:rPr>
          <w:rFonts w:ascii="宋体" w:eastAsia="宋体" w:hAnsi="宋体" w:hint="eastAsia"/>
          <w:sz w:val="21"/>
        </w:rPr>
        <w:t>赋分原则</w:t>
      </w:r>
      <w:proofErr w:type="gramEnd"/>
      <w:r>
        <w:rPr>
          <w:rFonts w:ascii="宋体" w:eastAsia="宋体" w:hAnsi="宋体" w:hint="eastAsia"/>
          <w:sz w:val="21"/>
        </w:rPr>
        <w:t>：“符合”得2分、“部分符合”得1分、“不符合”得0分；其中标注a的指标得分按“符合”得1分、“部分符合”得0.5分、“不</w:t>
      </w:r>
    </w:p>
    <w:p w:rsidR="00AB41AC" w:rsidRDefault="00AB41AC" w:rsidP="00AB41AC">
      <w:pPr>
        <w:adjustRightInd w:val="0"/>
        <w:snapToGrid w:val="0"/>
        <w:spacing w:line="288" w:lineRule="auto"/>
        <w:rPr>
          <w:rFonts w:ascii="宋体" w:eastAsia="宋体" w:hAnsi="宋体"/>
          <w:sz w:val="21"/>
        </w:rPr>
      </w:pPr>
      <w:r>
        <w:rPr>
          <w:rFonts w:ascii="宋体" w:eastAsia="宋体" w:hAnsi="宋体" w:hint="eastAsia"/>
          <w:sz w:val="21"/>
        </w:rPr>
        <w:t xml:space="preserve">      符合</w:t>
      </w:r>
      <w:proofErr w:type="gramStart"/>
      <w:r>
        <w:rPr>
          <w:rFonts w:ascii="宋体" w:eastAsia="宋体" w:hAnsi="宋体" w:hint="eastAsia"/>
          <w:sz w:val="21"/>
        </w:rPr>
        <w:t>”</w:t>
      </w:r>
      <w:proofErr w:type="gramEnd"/>
      <w:r>
        <w:rPr>
          <w:rFonts w:ascii="宋体" w:eastAsia="宋体" w:hAnsi="宋体" w:hint="eastAsia"/>
          <w:sz w:val="21"/>
        </w:rPr>
        <w:t>得0分计，标注b的指标得分按“符合”得3分、“部分符合”得1.5分、“不符合”得0分计。</w:t>
      </w:r>
    </w:p>
    <w:p w:rsidR="00AB41AC" w:rsidRDefault="00AB41AC" w:rsidP="00AB41AC">
      <w:pPr>
        <w:adjustRightInd w:val="0"/>
        <w:snapToGrid w:val="0"/>
        <w:spacing w:line="288" w:lineRule="auto"/>
        <w:rPr>
          <w:rFonts w:ascii="宋体" w:eastAsia="宋体" w:hAnsi="宋体"/>
          <w:sz w:val="21"/>
        </w:rPr>
      </w:pPr>
      <w:r>
        <w:rPr>
          <w:rFonts w:ascii="宋体" w:eastAsia="宋体" w:hAnsi="宋体" w:hint="eastAsia"/>
          <w:sz w:val="21"/>
        </w:rPr>
        <w:t xml:space="preserve">    3.指标调整：标注</w:t>
      </w:r>
      <w:r>
        <w:rPr>
          <w:rFonts w:ascii="宋体" w:eastAsia="宋体" w:hAnsi="宋体"/>
          <w:sz w:val="21"/>
        </w:rPr>
        <w:t>c</w:t>
      </w:r>
      <w:r>
        <w:rPr>
          <w:rFonts w:ascii="宋体" w:eastAsia="宋体" w:hAnsi="宋体" w:hint="eastAsia"/>
          <w:sz w:val="21"/>
        </w:rPr>
        <w:t>的指标或项目中的部分指标，评审组可以对不适用的进行调整。</w:t>
      </w:r>
    </w:p>
    <w:p w:rsidR="00AB41AC" w:rsidRDefault="00AB41AC" w:rsidP="00AB41AC">
      <w:pPr>
        <w:adjustRightInd w:val="0"/>
        <w:snapToGrid w:val="0"/>
        <w:spacing w:line="288" w:lineRule="auto"/>
        <w:rPr>
          <w:rFonts w:ascii="宋体" w:eastAsia="宋体" w:hAnsi="宋体"/>
          <w:sz w:val="21"/>
        </w:rPr>
      </w:pPr>
      <w:r>
        <w:rPr>
          <w:rFonts w:ascii="宋体" w:eastAsia="宋体" w:hAnsi="宋体" w:hint="eastAsia"/>
          <w:sz w:val="21"/>
        </w:rPr>
        <w:t xml:space="preserve">    4.“一票否决”项不计入评审得分。</w:t>
      </w:r>
    </w:p>
    <w:p w:rsidR="00AB41AC" w:rsidRDefault="00AB41AC" w:rsidP="00AB41AC">
      <w:pPr>
        <w:adjustRightInd w:val="0"/>
        <w:snapToGrid w:val="0"/>
        <w:spacing w:line="288" w:lineRule="auto"/>
      </w:pPr>
      <w:r>
        <w:rPr>
          <w:rFonts w:ascii="宋体" w:eastAsia="宋体" w:hAnsi="宋体" w:hint="eastAsia"/>
          <w:sz w:val="21"/>
        </w:rPr>
        <w:t xml:space="preserve">    5.指标说明供参考。</w:t>
      </w:r>
    </w:p>
    <w:p w:rsidR="00915A42" w:rsidRDefault="00915A42">
      <w:pPr>
        <w:ind w:firstLine="480"/>
        <w:sectPr w:rsidR="00915A42" w:rsidSect="00556EB1">
          <w:footerReference w:type="default" r:id="rId13"/>
          <w:pgSz w:w="16838" w:h="11906" w:orient="landscape"/>
          <w:pgMar w:top="1531" w:right="1701" w:bottom="1531" w:left="1701" w:header="851" w:footer="1077" w:gutter="0"/>
          <w:cols w:space="720"/>
          <w:docGrid w:type="lines" w:linePitch="435"/>
        </w:sectPr>
      </w:pPr>
    </w:p>
    <w:p w:rsidR="00D7352F" w:rsidRPr="00915A42" w:rsidRDefault="00915A42" w:rsidP="00915A42">
      <w:pPr>
        <w:ind w:firstLine="480"/>
        <w:jc w:val="center"/>
        <w:rPr>
          <w:rFonts w:asciiTheme="minorEastAsia" w:eastAsiaTheme="minorEastAsia" w:hAnsiTheme="minorEastAsia"/>
          <w:b/>
          <w:sz w:val="28"/>
          <w:szCs w:val="28"/>
        </w:rPr>
      </w:pPr>
      <w:r w:rsidRPr="00915A42">
        <w:rPr>
          <w:rFonts w:asciiTheme="minorEastAsia" w:eastAsiaTheme="minorEastAsia" w:hAnsiTheme="minorEastAsia" w:hint="eastAsia"/>
          <w:b/>
          <w:sz w:val="28"/>
          <w:szCs w:val="28"/>
        </w:rPr>
        <w:lastRenderedPageBreak/>
        <w:t>应急预案会后评审修改清单</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478"/>
        <w:gridCol w:w="4687"/>
        <w:gridCol w:w="3895"/>
      </w:tblGrid>
      <w:tr w:rsidR="00915A42" w:rsidRPr="00915A42" w:rsidTr="00BA0CA4">
        <w:trPr>
          <w:trHeight w:val="617"/>
          <w:tblHeader/>
        </w:trPr>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b/>
                <w:bCs/>
                <w:sz w:val="21"/>
                <w:szCs w:val="21"/>
              </w:rPr>
            </w:pPr>
            <w:r w:rsidRPr="00915A42">
              <w:rPr>
                <w:rFonts w:ascii="Times New Roman" w:eastAsia="宋体" w:hAnsi="Times New Roman"/>
                <w:b/>
                <w:bCs/>
                <w:sz w:val="21"/>
                <w:szCs w:val="21"/>
              </w:rPr>
              <w:t>序号</w:t>
            </w:r>
          </w:p>
        </w:tc>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b/>
                <w:bCs/>
                <w:sz w:val="21"/>
                <w:szCs w:val="21"/>
              </w:rPr>
            </w:pPr>
            <w:r w:rsidRPr="00915A42">
              <w:rPr>
                <w:rFonts w:ascii="Times New Roman" w:eastAsia="宋体" w:hAnsi="Times New Roman" w:hint="eastAsia"/>
                <w:b/>
                <w:bCs/>
                <w:sz w:val="21"/>
                <w:szCs w:val="21"/>
              </w:rPr>
              <w:t>评审组</w:t>
            </w:r>
            <w:r w:rsidRPr="00915A42">
              <w:rPr>
                <w:rFonts w:ascii="Times New Roman" w:eastAsia="宋体" w:hAnsi="Times New Roman"/>
                <w:b/>
                <w:bCs/>
                <w:sz w:val="21"/>
                <w:szCs w:val="21"/>
              </w:rPr>
              <w:t>意见</w:t>
            </w:r>
          </w:p>
        </w:tc>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b/>
                <w:bCs/>
                <w:sz w:val="21"/>
                <w:szCs w:val="21"/>
              </w:rPr>
            </w:pPr>
            <w:r w:rsidRPr="00915A42">
              <w:rPr>
                <w:rFonts w:ascii="Times New Roman" w:eastAsia="宋体" w:hAnsi="Times New Roman"/>
                <w:b/>
                <w:bCs/>
                <w:sz w:val="21"/>
                <w:szCs w:val="21"/>
              </w:rPr>
              <w:t>修改说明</w:t>
            </w:r>
          </w:p>
        </w:tc>
      </w:tr>
      <w:tr w:rsidR="00915A42" w:rsidRPr="00915A42" w:rsidTr="00BA0CA4">
        <w:trPr>
          <w:trHeight w:val="823"/>
        </w:trPr>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sz w:val="21"/>
                <w:szCs w:val="21"/>
              </w:rPr>
              <w:t>1</w:t>
            </w:r>
          </w:p>
        </w:tc>
        <w:tc>
          <w:tcPr>
            <w:tcW w:w="0" w:type="auto"/>
            <w:vAlign w:val="center"/>
          </w:tcPr>
          <w:p w:rsidR="00915A42" w:rsidRPr="00915A42" w:rsidRDefault="00915A42" w:rsidP="00BA0CA4">
            <w:pPr>
              <w:adjustRightInd w:val="0"/>
              <w:snapToGrid w:val="0"/>
              <w:spacing w:line="360" w:lineRule="auto"/>
              <w:ind w:firstLineChars="200" w:firstLine="420"/>
              <w:rPr>
                <w:rFonts w:ascii="Times New Roman" w:eastAsia="宋体" w:hAnsi="Times New Roman"/>
                <w:sz w:val="21"/>
                <w:szCs w:val="21"/>
              </w:rPr>
            </w:pPr>
            <w:r w:rsidRPr="00915A42">
              <w:rPr>
                <w:rFonts w:ascii="Times New Roman" w:eastAsia="宋体" w:hAnsi="Times New Roman" w:hint="eastAsia"/>
                <w:sz w:val="21"/>
                <w:szCs w:val="21"/>
              </w:rPr>
              <w:t>补充相关标准规范，如《建筑设计防火规范》（</w:t>
            </w:r>
            <w:r w:rsidRPr="00915A42">
              <w:rPr>
                <w:rFonts w:ascii="Times New Roman" w:eastAsia="宋体" w:hAnsi="Times New Roman" w:hint="eastAsia"/>
                <w:sz w:val="21"/>
                <w:szCs w:val="21"/>
              </w:rPr>
              <w:t>GB 50016</w:t>
            </w:r>
            <w:r w:rsidRPr="00915A42">
              <w:rPr>
                <w:rFonts w:ascii="Times New Roman" w:eastAsia="宋体" w:hAnsi="Times New Roman" w:hint="eastAsia"/>
                <w:sz w:val="21"/>
                <w:szCs w:val="21"/>
              </w:rPr>
              <w:t>—</w:t>
            </w:r>
            <w:r w:rsidRPr="00915A42">
              <w:rPr>
                <w:rFonts w:ascii="Times New Roman" w:eastAsia="宋体" w:hAnsi="Times New Roman" w:hint="eastAsia"/>
                <w:sz w:val="21"/>
                <w:szCs w:val="21"/>
              </w:rPr>
              <w:t>2014</w:t>
            </w:r>
            <w:r w:rsidRPr="00915A42">
              <w:rPr>
                <w:rFonts w:ascii="Times New Roman" w:eastAsia="宋体" w:hAnsi="Times New Roman" w:hint="eastAsia"/>
                <w:sz w:val="21"/>
                <w:szCs w:val="21"/>
              </w:rPr>
              <w:t>）</w:t>
            </w:r>
            <w:r w:rsidRPr="00915A42">
              <w:rPr>
                <w:rFonts w:ascii="Times New Roman" w:eastAsia="宋体" w:hAnsi="Times New Roman" w:hint="eastAsia"/>
                <w:sz w:val="21"/>
                <w:szCs w:val="21"/>
              </w:rPr>
              <w:t>2018</w:t>
            </w:r>
            <w:r w:rsidRPr="00915A42">
              <w:rPr>
                <w:rFonts w:ascii="Times New Roman" w:eastAsia="宋体" w:hAnsi="Times New Roman" w:hint="eastAsia"/>
                <w:sz w:val="21"/>
                <w:szCs w:val="21"/>
              </w:rPr>
              <w:t>修订版。</w:t>
            </w:r>
          </w:p>
        </w:tc>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宋体" w:eastAsia="宋体" w:hAnsi="宋体" w:cs="宋体" w:hint="eastAsia"/>
                <w:kern w:val="0"/>
                <w:sz w:val="21"/>
                <w:szCs w:val="21"/>
              </w:rPr>
              <w:t>已</w:t>
            </w:r>
            <w:r w:rsidRPr="00915A42">
              <w:rPr>
                <w:rFonts w:ascii="Times New Roman" w:eastAsia="宋体" w:hAnsi="Times New Roman" w:hint="eastAsia"/>
                <w:sz w:val="21"/>
                <w:szCs w:val="21"/>
              </w:rPr>
              <w:t>补充相关标准规范，</w:t>
            </w:r>
            <w:r w:rsidRPr="00915A42">
              <w:rPr>
                <w:rFonts w:ascii="宋体" w:eastAsia="宋体" w:hAnsi="宋体" w:cs="宋体" w:hint="eastAsia"/>
                <w:kern w:val="0"/>
                <w:sz w:val="21"/>
                <w:szCs w:val="21"/>
              </w:rPr>
              <w:t>见</w:t>
            </w:r>
            <w:r w:rsidRPr="00915A42">
              <w:rPr>
                <w:rFonts w:ascii="Times New Roman" w:eastAsia="宋体" w:hAnsi="Times New Roman" w:hint="eastAsia"/>
                <w:sz w:val="21"/>
                <w:szCs w:val="21"/>
              </w:rPr>
              <w:t>P2</w:t>
            </w:r>
          </w:p>
        </w:tc>
      </w:tr>
      <w:tr w:rsidR="00915A42" w:rsidRPr="00915A42" w:rsidTr="00BA0CA4">
        <w:trPr>
          <w:trHeight w:val="1041"/>
        </w:trPr>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sz w:val="21"/>
                <w:szCs w:val="21"/>
              </w:rPr>
              <w:t>2</w:t>
            </w:r>
          </w:p>
        </w:tc>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hint="eastAsia"/>
                <w:sz w:val="21"/>
                <w:szCs w:val="21"/>
              </w:rPr>
              <w:t xml:space="preserve">    </w:t>
            </w:r>
            <w:r w:rsidRPr="00915A42">
              <w:rPr>
                <w:rFonts w:ascii="Times New Roman" w:eastAsia="宋体" w:hAnsi="Times New Roman" w:hint="eastAsia"/>
                <w:sz w:val="21"/>
                <w:szCs w:val="21"/>
              </w:rPr>
              <w:t>将南昌市环境保护局改为南昌市生态环境局，南昌市环境监测站改为南昌市生态环境监测中心。省环境监测站</w:t>
            </w:r>
            <w:proofErr w:type="gramStart"/>
            <w:r w:rsidRPr="00915A42">
              <w:rPr>
                <w:rFonts w:ascii="Times New Roman" w:eastAsia="宋体" w:hAnsi="Times New Roman" w:hint="eastAsia"/>
                <w:sz w:val="21"/>
                <w:szCs w:val="21"/>
              </w:rPr>
              <w:t>改为省</w:t>
            </w:r>
            <w:proofErr w:type="gramEnd"/>
            <w:r w:rsidRPr="00915A42">
              <w:rPr>
                <w:rFonts w:ascii="Times New Roman" w:eastAsia="宋体" w:hAnsi="Times New Roman" w:hint="eastAsia"/>
                <w:sz w:val="21"/>
                <w:szCs w:val="21"/>
              </w:rPr>
              <w:t>生态环境监测中心</w:t>
            </w:r>
          </w:p>
        </w:tc>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宋体" w:eastAsia="宋体" w:hAnsi="宋体" w:cs="宋体" w:hint="eastAsia"/>
                <w:kern w:val="0"/>
                <w:sz w:val="21"/>
                <w:szCs w:val="21"/>
              </w:rPr>
              <w:t>已将</w:t>
            </w:r>
            <w:r w:rsidRPr="00915A42">
              <w:rPr>
                <w:rFonts w:ascii="Times New Roman" w:eastAsia="宋体" w:hAnsi="Times New Roman" w:hint="eastAsia"/>
                <w:sz w:val="21"/>
                <w:szCs w:val="21"/>
              </w:rPr>
              <w:t>南昌市环境保护局改为南昌市生态环境局，南昌市环境监测站改为南昌市生态环境监测中心。省环境监测站</w:t>
            </w:r>
            <w:proofErr w:type="gramStart"/>
            <w:r w:rsidRPr="00915A42">
              <w:rPr>
                <w:rFonts w:ascii="Times New Roman" w:eastAsia="宋体" w:hAnsi="Times New Roman" w:hint="eastAsia"/>
                <w:sz w:val="21"/>
                <w:szCs w:val="21"/>
              </w:rPr>
              <w:t>改为省</w:t>
            </w:r>
            <w:proofErr w:type="gramEnd"/>
            <w:r w:rsidRPr="00915A42">
              <w:rPr>
                <w:rFonts w:ascii="Times New Roman" w:eastAsia="宋体" w:hAnsi="Times New Roman" w:hint="eastAsia"/>
                <w:sz w:val="21"/>
                <w:szCs w:val="21"/>
              </w:rPr>
              <w:t>生态环境监测中心，</w:t>
            </w:r>
            <w:r w:rsidRPr="00915A42">
              <w:rPr>
                <w:rFonts w:ascii="宋体" w:eastAsia="宋体" w:hAnsi="宋体" w:cs="宋体" w:hint="eastAsia"/>
                <w:kern w:val="0"/>
                <w:sz w:val="21"/>
                <w:szCs w:val="21"/>
              </w:rPr>
              <w:t>见</w:t>
            </w:r>
            <w:r w:rsidRPr="00915A42">
              <w:rPr>
                <w:rFonts w:ascii="Times New Roman" w:eastAsia="宋体" w:hAnsi="Times New Roman" w:hint="eastAsia"/>
                <w:sz w:val="21"/>
                <w:szCs w:val="21"/>
              </w:rPr>
              <w:t>P16</w:t>
            </w:r>
          </w:p>
        </w:tc>
      </w:tr>
      <w:tr w:rsidR="00915A42" w:rsidRPr="00915A42" w:rsidTr="00BA0CA4">
        <w:trPr>
          <w:trHeight w:val="1041"/>
        </w:trPr>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hint="eastAsia"/>
                <w:sz w:val="21"/>
                <w:szCs w:val="21"/>
              </w:rPr>
              <w:t>3</w:t>
            </w:r>
          </w:p>
        </w:tc>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hint="eastAsia"/>
                <w:sz w:val="21"/>
                <w:szCs w:val="21"/>
              </w:rPr>
              <w:t>统一单位名称</w:t>
            </w:r>
          </w:p>
        </w:tc>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hint="eastAsia"/>
                <w:sz w:val="21"/>
                <w:szCs w:val="21"/>
              </w:rPr>
              <w:t>已统一单位名称</w:t>
            </w:r>
          </w:p>
        </w:tc>
      </w:tr>
      <w:tr w:rsidR="00915A42" w:rsidRPr="00915A42" w:rsidTr="00BA0CA4">
        <w:trPr>
          <w:trHeight w:val="1041"/>
        </w:trPr>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hint="eastAsia"/>
                <w:sz w:val="21"/>
                <w:szCs w:val="21"/>
              </w:rPr>
              <w:t>4</w:t>
            </w:r>
          </w:p>
        </w:tc>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hint="eastAsia"/>
                <w:sz w:val="21"/>
                <w:szCs w:val="21"/>
              </w:rPr>
              <w:t>环境敏感点距离风险源的位置和方位</w:t>
            </w:r>
          </w:p>
        </w:tc>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sz w:val="21"/>
                <w:szCs w:val="21"/>
              </w:rPr>
              <w:t>已补充</w:t>
            </w:r>
            <w:r w:rsidRPr="00915A42">
              <w:rPr>
                <w:rFonts w:ascii="Times New Roman" w:eastAsia="宋体" w:hAnsi="Times New Roman" w:hint="eastAsia"/>
                <w:sz w:val="21"/>
                <w:szCs w:val="21"/>
              </w:rPr>
              <w:t>环境敏感点距离风险源的位置和方位，见第三部分</w:t>
            </w:r>
            <w:r w:rsidRPr="00915A42">
              <w:rPr>
                <w:rFonts w:ascii="Times New Roman" w:eastAsia="宋体" w:hAnsi="Times New Roman" w:hint="eastAsia"/>
                <w:sz w:val="21"/>
                <w:szCs w:val="21"/>
              </w:rPr>
              <w:t>P6</w:t>
            </w:r>
          </w:p>
        </w:tc>
      </w:tr>
      <w:tr w:rsidR="00915A42" w:rsidRPr="00915A42" w:rsidTr="00BA0CA4">
        <w:trPr>
          <w:trHeight w:val="1041"/>
        </w:trPr>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hint="eastAsia"/>
                <w:sz w:val="21"/>
                <w:szCs w:val="21"/>
              </w:rPr>
              <w:t>5</w:t>
            </w:r>
          </w:p>
        </w:tc>
        <w:tc>
          <w:tcPr>
            <w:tcW w:w="0" w:type="auto"/>
            <w:vAlign w:val="center"/>
          </w:tcPr>
          <w:p w:rsidR="00915A42" w:rsidRPr="00915A42" w:rsidRDefault="00915A42" w:rsidP="00BA0CA4">
            <w:pPr>
              <w:ind w:firstLine="480"/>
              <w:rPr>
                <w:rFonts w:ascii="Times New Roman" w:eastAsia="宋体" w:hAnsi="Times New Roman"/>
                <w:sz w:val="21"/>
                <w:szCs w:val="21"/>
              </w:rPr>
            </w:pPr>
            <w:r w:rsidRPr="00915A42">
              <w:rPr>
                <w:rFonts w:ascii="Times New Roman" w:eastAsia="宋体" w:hAnsi="Times New Roman" w:hint="eastAsia"/>
                <w:sz w:val="21"/>
                <w:szCs w:val="21"/>
              </w:rPr>
              <w:t>鉴于项目已建成，应根据项目实际情况，进一步调查项目已采取风险防范措施，分析存在的风险隐患，完善全厂风险防范措施和应急预案</w:t>
            </w:r>
          </w:p>
        </w:tc>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sz w:val="21"/>
                <w:szCs w:val="21"/>
              </w:rPr>
              <w:t>已根据医院现状进行调查</w:t>
            </w:r>
            <w:r w:rsidRPr="00915A42">
              <w:rPr>
                <w:rFonts w:ascii="Times New Roman" w:eastAsia="宋体" w:hAnsi="Times New Roman" w:hint="eastAsia"/>
                <w:sz w:val="21"/>
                <w:szCs w:val="21"/>
              </w:rPr>
              <w:t>，完善全院风险防范措施和应急预案，详见整个方案</w:t>
            </w:r>
          </w:p>
        </w:tc>
      </w:tr>
      <w:tr w:rsidR="00915A42" w:rsidRPr="00915A42" w:rsidTr="00BA0CA4">
        <w:trPr>
          <w:trHeight w:val="1041"/>
        </w:trPr>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hint="eastAsia"/>
                <w:sz w:val="21"/>
                <w:szCs w:val="21"/>
              </w:rPr>
              <w:t>6</w:t>
            </w:r>
          </w:p>
        </w:tc>
        <w:tc>
          <w:tcPr>
            <w:tcW w:w="0" w:type="auto"/>
            <w:vAlign w:val="center"/>
          </w:tcPr>
          <w:p w:rsidR="00915A42" w:rsidRPr="00915A42" w:rsidRDefault="00915A42" w:rsidP="00BA0CA4">
            <w:pPr>
              <w:adjustRightInd w:val="0"/>
              <w:snapToGrid w:val="0"/>
              <w:spacing w:line="360" w:lineRule="auto"/>
              <w:ind w:firstLineChars="200" w:firstLine="420"/>
              <w:rPr>
                <w:rFonts w:ascii="Times New Roman" w:eastAsia="宋体" w:hAnsi="Times New Roman"/>
                <w:sz w:val="21"/>
                <w:szCs w:val="21"/>
              </w:rPr>
            </w:pPr>
            <w:r w:rsidRPr="00915A42">
              <w:rPr>
                <w:rFonts w:ascii="Times New Roman" w:eastAsia="宋体" w:hAnsi="Times New Roman" w:hint="eastAsia"/>
                <w:sz w:val="21"/>
                <w:szCs w:val="21"/>
              </w:rPr>
              <w:t>明确风险应急预案的管理维护直接责任人和定期开展应急演练并实施记录措施的责任人；完善外部应急联系方式（增加周边企业、学校等）</w:t>
            </w:r>
          </w:p>
        </w:tc>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宋体" w:eastAsia="宋体" w:hAnsi="宋体" w:cs="宋体" w:hint="eastAsia"/>
                <w:kern w:val="0"/>
                <w:sz w:val="21"/>
                <w:szCs w:val="21"/>
              </w:rPr>
              <w:t>已</w:t>
            </w:r>
            <w:r w:rsidRPr="00915A42">
              <w:rPr>
                <w:rFonts w:ascii="Times New Roman" w:eastAsia="宋体" w:hAnsi="Times New Roman" w:hint="eastAsia"/>
                <w:sz w:val="21"/>
                <w:szCs w:val="21"/>
              </w:rPr>
              <w:t>明确风险应急预案管理维护直接责任人，详见</w:t>
            </w:r>
            <w:r w:rsidRPr="00915A42">
              <w:rPr>
                <w:rFonts w:ascii="Times New Roman" w:eastAsia="宋体" w:hAnsi="Times New Roman" w:hint="eastAsia"/>
                <w:sz w:val="21"/>
                <w:szCs w:val="21"/>
              </w:rPr>
              <w:t>P26</w:t>
            </w:r>
            <w:r w:rsidRPr="00915A42">
              <w:rPr>
                <w:rFonts w:ascii="Times New Roman" w:eastAsia="宋体" w:hAnsi="Times New Roman" w:hint="eastAsia"/>
                <w:sz w:val="21"/>
                <w:szCs w:val="21"/>
              </w:rPr>
              <w:t>。外部应急联系方式已增加见第三部分</w:t>
            </w:r>
            <w:r w:rsidRPr="00915A42">
              <w:rPr>
                <w:rFonts w:ascii="Times New Roman" w:eastAsia="宋体" w:hAnsi="Times New Roman" w:hint="eastAsia"/>
                <w:sz w:val="21"/>
                <w:szCs w:val="21"/>
              </w:rPr>
              <w:t>P6</w:t>
            </w:r>
          </w:p>
        </w:tc>
      </w:tr>
      <w:tr w:rsidR="00915A42" w:rsidRPr="00915A42" w:rsidTr="00BA0CA4">
        <w:trPr>
          <w:trHeight w:val="1041"/>
        </w:trPr>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hint="eastAsia"/>
                <w:sz w:val="21"/>
                <w:szCs w:val="21"/>
              </w:rPr>
              <w:t>7</w:t>
            </w:r>
          </w:p>
        </w:tc>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hint="eastAsia"/>
                <w:sz w:val="21"/>
                <w:szCs w:val="21"/>
              </w:rPr>
              <w:t xml:space="preserve">    </w:t>
            </w:r>
            <w:r w:rsidRPr="00915A42">
              <w:rPr>
                <w:rFonts w:ascii="Times New Roman" w:eastAsia="宋体" w:hAnsi="Times New Roman" w:hint="eastAsia"/>
                <w:sz w:val="21"/>
                <w:szCs w:val="21"/>
              </w:rPr>
              <w:t>二氧化氯粉剂一般是由</w:t>
            </w:r>
            <w:r w:rsidRPr="00915A42">
              <w:rPr>
                <w:rFonts w:ascii="Times New Roman" w:eastAsia="宋体" w:hAnsi="Times New Roman" w:hint="eastAsia"/>
                <w:sz w:val="21"/>
                <w:szCs w:val="21"/>
              </w:rPr>
              <w:t>A</w:t>
            </w:r>
            <w:r w:rsidRPr="00915A42">
              <w:rPr>
                <w:rFonts w:ascii="Times New Roman" w:eastAsia="宋体" w:hAnsi="Times New Roman" w:hint="eastAsia"/>
                <w:sz w:val="21"/>
                <w:szCs w:val="21"/>
              </w:rPr>
              <w:t>、</w:t>
            </w:r>
            <w:r w:rsidRPr="00915A42">
              <w:rPr>
                <w:rFonts w:ascii="Times New Roman" w:eastAsia="宋体" w:hAnsi="Times New Roman" w:hint="eastAsia"/>
                <w:sz w:val="21"/>
                <w:szCs w:val="21"/>
              </w:rPr>
              <w:t>B</w:t>
            </w:r>
            <w:r w:rsidRPr="00915A42">
              <w:rPr>
                <w:rFonts w:ascii="Times New Roman" w:eastAsia="宋体" w:hAnsi="Times New Roman" w:hint="eastAsia"/>
                <w:sz w:val="21"/>
                <w:szCs w:val="21"/>
              </w:rPr>
              <w:t>两种组分组成的，用水调节，两种组分发生化学反应后才生成二氧化氯，应急预案风险识别除考虑生成的二氧化氯外，还要考虑粉剂贮存的风险</w:t>
            </w:r>
          </w:p>
        </w:tc>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sz w:val="21"/>
                <w:szCs w:val="21"/>
              </w:rPr>
              <w:t>已明确是</w:t>
            </w:r>
            <w:r w:rsidRPr="00915A42">
              <w:rPr>
                <w:rFonts w:ascii="Times New Roman" w:eastAsia="宋体" w:hAnsi="Times New Roman" w:hint="eastAsia"/>
                <w:sz w:val="21"/>
                <w:szCs w:val="21"/>
              </w:rPr>
              <w:t>A</w:t>
            </w:r>
            <w:r w:rsidRPr="00915A42">
              <w:rPr>
                <w:rFonts w:ascii="Times New Roman" w:eastAsia="宋体" w:hAnsi="Times New Roman" w:hint="eastAsia"/>
                <w:sz w:val="21"/>
                <w:szCs w:val="21"/>
              </w:rPr>
              <w:t>、</w:t>
            </w:r>
            <w:r w:rsidRPr="00915A42">
              <w:rPr>
                <w:rFonts w:ascii="Times New Roman" w:eastAsia="宋体" w:hAnsi="Times New Roman" w:hint="eastAsia"/>
                <w:sz w:val="21"/>
                <w:szCs w:val="21"/>
              </w:rPr>
              <w:t>B</w:t>
            </w:r>
            <w:proofErr w:type="gramStart"/>
            <w:r w:rsidRPr="00915A42">
              <w:rPr>
                <w:rFonts w:ascii="Times New Roman" w:eastAsia="宋体" w:hAnsi="Times New Roman" w:hint="eastAsia"/>
                <w:sz w:val="21"/>
                <w:szCs w:val="21"/>
              </w:rPr>
              <w:t>剂两种</w:t>
            </w:r>
            <w:proofErr w:type="gramEnd"/>
            <w:r w:rsidRPr="00915A42">
              <w:rPr>
                <w:rFonts w:ascii="Times New Roman" w:eastAsia="宋体" w:hAnsi="Times New Roman" w:hint="eastAsia"/>
                <w:sz w:val="21"/>
                <w:szCs w:val="21"/>
              </w:rPr>
              <w:t>组分发生化学反应后才生成二氧化氯，已经考虑粉剂贮存的风险，药剂用量很少</w:t>
            </w:r>
          </w:p>
        </w:tc>
      </w:tr>
      <w:tr w:rsidR="00915A42" w:rsidRPr="00915A42" w:rsidTr="00BA0CA4">
        <w:trPr>
          <w:trHeight w:val="1041"/>
        </w:trPr>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hint="eastAsia"/>
                <w:sz w:val="21"/>
                <w:szCs w:val="21"/>
              </w:rPr>
              <w:t>8</w:t>
            </w:r>
          </w:p>
        </w:tc>
        <w:tc>
          <w:tcPr>
            <w:tcW w:w="0" w:type="auto"/>
            <w:vAlign w:val="center"/>
          </w:tcPr>
          <w:p w:rsidR="00915A42" w:rsidRPr="00915A42" w:rsidRDefault="00915A42" w:rsidP="00BA0CA4">
            <w:pPr>
              <w:ind w:firstLine="480"/>
              <w:rPr>
                <w:rFonts w:ascii="Times New Roman" w:eastAsia="宋体" w:hAnsi="Times New Roman"/>
                <w:sz w:val="21"/>
                <w:szCs w:val="21"/>
              </w:rPr>
            </w:pPr>
            <w:r w:rsidRPr="00915A42">
              <w:rPr>
                <w:rFonts w:ascii="Times New Roman" w:eastAsia="宋体" w:hAnsi="Times New Roman" w:hint="eastAsia"/>
                <w:sz w:val="21"/>
                <w:szCs w:val="21"/>
              </w:rPr>
              <w:t>结合风险评估结果，细化事故应急环境监测因子、频率、位置，</w:t>
            </w:r>
            <w:proofErr w:type="gramStart"/>
            <w:r w:rsidRPr="00915A42">
              <w:rPr>
                <w:rFonts w:ascii="Times New Roman" w:eastAsia="宋体" w:hAnsi="Times New Roman" w:hint="eastAsia"/>
                <w:sz w:val="21"/>
                <w:szCs w:val="21"/>
              </w:rPr>
              <w:t>完善总</w:t>
            </w:r>
            <w:proofErr w:type="gramEnd"/>
            <w:r w:rsidRPr="00915A42">
              <w:rPr>
                <w:rFonts w:ascii="Times New Roman" w:eastAsia="宋体" w:hAnsi="Times New Roman" w:hint="eastAsia"/>
                <w:sz w:val="21"/>
                <w:szCs w:val="21"/>
              </w:rPr>
              <w:t>平面图（应急物资贮存位置、疏散路线等）</w:t>
            </w:r>
          </w:p>
        </w:tc>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sz w:val="21"/>
                <w:szCs w:val="21"/>
              </w:rPr>
              <w:t>已完善</w:t>
            </w:r>
            <w:r w:rsidRPr="00915A42">
              <w:rPr>
                <w:rFonts w:ascii="Times New Roman" w:eastAsia="宋体" w:hAnsi="Times New Roman" w:hint="eastAsia"/>
                <w:sz w:val="21"/>
                <w:szCs w:val="21"/>
              </w:rPr>
              <w:t>应急环境监测因子、频率、位置，见</w:t>
            </w:r>
            <w:r w:rsidRPr="00915A42">
              <w:rPr>
                <w:rFonts w:ascii="Times New Roman" w:eastAsia="宋体" w:hAnsi="Times New Roman" w:hint="eastAsia"/>
                <w:sz w:val="21"/>
                <w:szCs w:val="21"/>
              </w:rPr>
              <w:t>P19</w:t>
            </w:r>
            <w:r w:rsidRPr="00915A42">
              <w:rPr>
                <w:rFonts w:ascii="Times New Roman" w:eastAsia="宋体" w:hAnsi="Times New Roman" w:hint="eastAsia"/>
                <w:sz w:val="21"/>
                <w:szCs w:val="21"/>
              </w:rPr>
              <w:t>已</w:t>
            </w:r>
            <w:proofErr w:type="gramStart"/>
            <w:r w:rsidRPr="00915A42">
              <w:rPr>
                <w:rFonts w:ascii="Times New Roman" w:eastAsia="宋体" w:hAnsi="Times New Roman" w:hint="eastAsia"/>
                <w:sz w:val="21"/>
                <w:szCs w:val="21"/>
              </w:rPr>
              <w:t>完善总</w:t>
            </w:r>
            <w:proofErr w:type="gramEnd"/>
            <w:r w:rsidRPr="00915A42">
              <w:rPr>
                <w:rFonts w:ascii="Times New Roman" w:eastAsia="宋体" w:hAnsi="Times New Roman" w:hint="eastAsia"/>
                <w:sz w:val="21"/>
                <w:szCs w:val="21"/>
              </w:rPr>
              <w:t>平面图见第三部分附图</w:t>
            </w:r>
            <w:r w:rsidRPr="00915A42">
              <w:rPr>
                <w:rFonts w:ascii="Times New Roman" w:eastAsia="宋体" w:hAnsi="Times New Roman" w:hint="eastAsia"/>
                <w:sz w:val="21"/>
                <w:szCs w:val="21"/>
              </w:rPr>
              <w:t>3</w:t>
            </w:r>
          </w:p>
        </w:tc>
      </w:tr>
      <w:tr w:rsidR="00915A42" w:rsidRPr="00915A42" w:rsidTr="00BA0CA4">
        <w:trPr>
          <w:trHeight w:val="1041"/>
        </w:trPr>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hint="eastAsia"/>
                <w:sz w:val="21"/>
                <w:szCs w:val="21"/>
              </w:rPr>
              <w:t>9</w:t>
            </w:r>
          </w:p>
        </w:tc>
        <w:tc>
          <w:tcPr>
            <w:tcW w:w="0" w:type="auto"/>
            <w:vAlign w:val="center"/>
          </w:tcPr>
          <w:p w:rsidR="00915A42" w:rsidRPr="00915A42" w:rsidRDefault="00915A42" w:rsidP="00BA0CA4">
            <w:pPr>
              <w:ind w:firstLine="480"/>
              <w:rPr>
                <w:rFonts w:ascii="Times New Roman" w:eastAsia="宋体" w:hAnsi="Times New Roman"/>
                <w:sz w:val="21"/>
                <w:szCs w:val="21"/>
              </w:rPr>
            </w:pPr>
            <w:r w:rsidRPr="00915A42">
              <w:rPr>
                <w:rFonts w:ascii="Times New Roman" w:eastAsia="宋体" w:hAnsi="Times New Roman" w:hint="eastAsia"/>
                <w:sz w:val="21"/>
                <w:szCs w:val="21"/>
              </w:rPr>
              <w:t>Ⅱ级预警是“污水处理系统设备故障导致医疗废水事故直排，截流在污水处理站内”。首先要说明有没有截流设施，比如事故收集池</w:t>
            </w:r>
          </w:p>
        </w:tc>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hint="eastAsia"/>
                <w:sz w:val="21"/>
                <w:szCs w:val="21"/>
              </w:rPr>
              <w:t>已有截流设施，事故收集池</w:t>
            </w:r>
          </w:p>
        </w:tc>
      </w:tr>
      <w:tr w:rsidR="00915A42" w:rsidRPr="00915A42" w:rsidTr="00915A42">
        <w:trPr>
          <w:trHeight w:val="775"/>
        </w:trPr>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hint="eastAsia"/>
                <w:sz w:val="21"/>
                <w:szCs w:val="21"/>
              </w:rPr>
              <w:t>10</w:t>
            </w:r>
          </w:p>
        </w:tc>
        <w:tc>
          <w:tcPr>
            <w:tcW w:w="0" w:type="auto"/>
            <w:vAlign w:val="center"/>
          </w:tcPr>
          <w:p w:rsidR="00915A42" w:rsidRPr="00915A42" w:rsidRDefault="00915A42" w:rsidP="00BA0CA4">
            <w:pPr>
              <w:ind w:firstLine="480"/>
              <w:rPr>
                <w:rFonts w:ascii="Times New Roman" w:eastAsia="宋体" w:hAnsi="Times New Roman"/>
                <w:sz w:val="21"/>
                <w:szCs w:val="21"/>
              </w:rPr>
            </w:pPr>
            <w:r w:rsidRPr="00915A42">
              <w:rPr>
                <w:rFonts w:ascii="宋体" w:eastAsia="宋体" w:hAnsi="宋体" w:cs="仿宋_GB2312" w:hint="eastAsia"/>
                <w:sz w:val="21"/>
                <w:szCs w:val="21"/>
              </w:rPr>
              <w:t>删除涉及石油化工建设项目相关的编制依据</w:t>
            </w:r>
          </w:p>
        </w:tc>
        <w:tc>
          <w:tcPr>
            <w:tcW w:w="0" w:type="auto"/>
            <w:vAlign w:val="center"/>
          </w:tcPr>
          <w:p w:rsidR="00915A42" w:rsidRPr="00915A42" w:rsidRDefault="00915A42" w:rsidP="00915A42">
            <w:pPr>
              <w:adjustRightInd w:val="0"/>
              <w:snapToGrid w:val="0"/>
              <w:spacing w:beforeLines="25" w:before="108" w:afterLines="25" w:after="108"/>
              <w:jc w:val="center"/>
              <w:rPr>
                <w:rFonts w:ascii="Times New Roman" w:eastAsia="宋体" w:hAnsi="Times New Roman"/>
                <w:sz w:val="21"/>
                <w:szCs w:val="21"/>
              </w:rPr>
            </w:pPr>
            <w:r w:rsidRPr="00915A42">
              <w:rPr>
                <w:rFonts w:ascii="Times New Roman" w:eastAsia="宋体" w:hAnsi="Times New Roman" w:hint="eastAsia"/>
                <w:sz w:val="21"/>
                <w:szCs w:val="21"/>
              </w:rPr>
              <w:t>已删除</w:t>
            </w:r>
          </w:p>
        </w:tc>
      </w:tr>
    </w:tbl>
    <w:p w:rsidR="00915A42" w:rsidRPr="00AB41AC" w:rsidRDefault="00915A42" w:rsidP="00915A42">
      <w:pPr>
        <w:ind w:firstLine="480"/>
      </w:pPr>
    </w:p>
    <w:sectPr w:rsidR="00915A42" w:rsidRPr="00AB41AC" w:rsidSect="00915A42">
      <w:pgSz w:w="11906" w:h="16838"/>
      <w:pgMar w:top="1701" w:right="1531" w:bottom="1701" w:left="1531" w:header="851" w:footer="1077" w:gutter="0"/>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55D" w:rsidRDefault="00E9155D" w:rsidP="00AB41AC">
      <w:r>
        <w:separator/>
      </w:r>
    </w:p>
  </w:endnote>
  <w:endnote w:type="continuationSeparator" w:id="0">
    <w:p w:rsidR="00E9155D" w:rsidRDefault="00E9155D" w:rsidP="00AB4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方正小标宋_GBK">
    <w:altName w:val="宋体"/>
    <w:charset w:val="86"/>
    <w:family w:val="script"/>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1AC" w:rsidRDefault="00AB41AC">
    <w:pPr>
      <w:pStyle w:val="a6"/>
      <w:ind w:right="360" w:firstLine="360"/>
      <w:jc w:val="center"/>
    </w:pPr>
    <w:r>
      <w:rPr>
        <w:noProof/>
      </w:rPr>
      <mc:AlternateContent>
        <mc:Choice Requires="wps">
          <w:drawing>
            <wp:anchor distT="0" distB="0" distL="114300" distR="114300" simplePos="0" relativeHeight="251659264" behindDoc="0" locked="0" layoutInCell="1" allowOverlap="1" wp14:anchorId="29384289" wp14:editId="6E5D443A">
              <wp:simplePos x="0" y="0"/>
              <wp:positionH relativeFrom="margin">
                <wp:align>center</wp:align>
              </wp:positionH>
              <wp:positionV relativeFrom="paragraph">
                <wp:posOffset>0</wp:posOffset>
              </wp:positionV>
              <wp:extent cx="58420" cy="139700"/>
              <wp:effectExtent l="1905" t="2540" r="0" b="635"/>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B41AC" w:rsidRDefault="00AB41AC">
                          <w:pPr>
                            <w:pStyle w:val="a6"/>
                          </w:pPr>
                          <w:r>
                            <w:rPr>
                              <w:rFonts w:hint="eastAsia"/>
                            </w:rPr>
                            <w:fldChar w:fldCharType="begin"/>
                          </w:r>
                          <w:r>
                            <w:rPr>
                              <w:rFonts w:hint="eastAsia"/>
                            </w:rPr>
                            <w:instrText xml:space="preserve"> PAGE  \* MERGEFORMAT </w:instrText>
                          </w:r>
                          <w:r>
                            <w:rPr>
                              <w:rFonts w:hint="eastAsia"/>
                            </w:rPr>
                            <w:fldChar w:fldCharType="separate"/>
                          </w:r>
                          <w:r w:rsidR="00E95CDD">
                            <w:rPr>
                              <w:noProof/>
                            </w:rPr>
                            <w:t>2</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7" o:spid="_x0000_s1026" type="#_x0000_t202" style="position:absolute;left:0;text-align:left;margin-left:0;margin-top:0;width:4.6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" filled="f" stroked="f">
              <v:textbox style="mso-fit-shape-to-text:t" inset="0,0,0,0">
                <w:txbxContent>
                  <w:p w:rsidR="00AB41AC" w:rsidRDefault="00AB41AC">
                    <w:pPr>
                      <w:pStyle w:val="a6"/>
                    </w:pPr>
                    <w:r>
                      <w:rPr>
                        <w:rFonts w:hint="eastAsia"/>
                      </w:rPr>
                      <w:fldChar w:fldCharType="begin"/>
                    </w:r>
                    <w:r>
                      <w:rPr>
                        <w:rFonts w:hint="eastAsia"/>
                      </w:rPr>
                      <w:instrText xml:space="preserve"> PAGE  \* MERGEFORMAT </w:instrText>
                    </w:r>
                    <w:r>
                      <w:rPr>
                        <w:rFonts w:hint="eastAsia"/>
                      </w:rPr>
                      <w:fldChar w:fldCharType="separate"/>
                    </w:r>
                    <w:r w:rsidR="00E95CDD">
                      <w:rPr>
                        <w:noProof/>
                      </w:rPr>
                      <w:t>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55D" w:rsidRDefault="00E9155D" w:rsidP="00AB41AC">
      <w:r>
        <w:separator/>
      </w:r>
    </w:p>
  </w:footnote>
  <w:footnote w:type="continuationSeparator" w:id="0">
    <w:p w:rsidR="00E9155D" w:rsidRDefault="00E9155D" w:rsidP="00AB41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8F9" w:rsidRDefault="00E9155D" w:rsidP="009155AD">
    <w:pPr>
      <w:pStyle w:val="a4"/>
      <w:ind w:left="540" w:hanging="5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8F9" w:rsidRDefault="00E9155D" w:rsidP="00306FD4">
    <w:pPr>
      <w:pStyle w:val="a4"/>
      <w:ind w:left="540" w:hanging="5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8F9" w:rsidRDefault="00E9155D" w:rsidP="009155AD">
    <w:pPr>
      <w:pStyle w:val="a4"/>
      <w:ind w:left="540" w:hanging="5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AC"/>
    <w:rsid w:val="00003C7F"/>
    <w:rsid w:val="000578D9"/>
    <w:rsid w:val="000E58C5"/>
    <w:rsid w:val="00115DAE"/>
    <w:rsid w:val="0020212F"/>
    <w:rsid w:val="00270C12"/>
    <w:rsid w:val="00320891"/>
    <w:rsid w:val="003C5BE4"/>
    <w:rsid w:val="004B4E12"/>
    <w:rsid w:val="005965B6"/>
    <w:rsid w:val="006868A6"/>
    <w:rsid w:val="006B194D"/>
    <w:rsid w:val="008E6E1A"/>
    <w:rsid w:val="00905E5C"/>
    <w:rsid w:val="00915A42"/>
    <w:rsid w:val="009226A3"/>
    <w:rsid w:val="00A04BC1"/>
    <w:rsid w:val="00A52495"/>
    <w:rsid w:val="00AB41AC"/>
    <w:rsid w:val="00B254DF"/>
    <w:rsid w:val="00B800FB"/>
    <w:rsid w:val="00BE5690"/>
    <w:rsid w:val="00D06B8D"/>
    <w:rsid w:val="00D7352F"/>
    <w:rsid w:val="00E26380"/>
    <w:rsid w:val="00E9155D"/>
    <w:rsid w:val="00E95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1AC"/>
    <w:pPr>
      <w:widowControl w:val="0"/>
      <w:jc w:val="both"/>
    </w:pPr>
    <w:rPr>
      <w:rFonts w:ascii="Calibri" w:eastAsia="仿宋_GB2312" w:hAnsi="Calibri" w:cs="Times New Roman"/>
      <w:sz w:val="32"/>
      <w:szCs w:val="20"/>
    </w:rPr>
  </w:style>
  <w:style w:type="paragraph" w:styleId="1">
    <w:name w:val="heading 1"/>
    <w:basedOn w:val="a"/>
    <w:next w:val="a"/>
    <w:link w:val="1Char"/>
    <w:qFormat/>
    <w:rsid w:val="00AB41AC"/>
    <w:pPr>
      <w:keepNext/>
      <w:keepLines/>
      <w:spacing w:before="260" w:after="120" w:line="460" w:lineRule="exact"/>
      <w:jc w:val="left"/>
      <w:outlineLvl w:val="0"/>
    </w:pPr>
    <w:rPr>
      <w:rFonts w:ascii="Times New Roman" w:eastAsia="黑体" w:hAnsi="Times New Roman"/>
      <w:bCs/>
      <w:color w:val="000000"/>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8E6E1A"/>
    <w:pPr>
      <w:jc w:val="left"/>
    </w:pPr>
    <w:rPr>
      <w:rFonts w:ascii="Times New Roman" w:eastAsia="宋体" w:hAnsi="Times New Roman" w:cstheme="minorBidi"/>
      <w:sz w:val="21"/>
      <w:szCs w:val="24"/>
    </w:rPr>
  </w:style>
  <w:style w:type="character" w:customStyle="1" w:styleId="Char">
    <w:name w:val="批注文字 Char"/>
    <w:link w:val="a3"/>
    <w:qFormat/>
    <w:rsid w:val="008E6E1A"/>
    <w:rPr>
      <w:rFonts w:ascii="Times New Roman" w:hAnsi="Times New Roman"/>
      <w:szCs w:val="24"/>
    </w:rPr>
  </w:style>
  <w:style w:type="character" w:customStyle="1" w:styleId="1Char">
    <w:name w:val="标题 1 Char"/>
    <w:basedOn w:val="a0"/>
    <w:link w:val="1"/>
    <w:qFormat/>
    <w:rsid w:val="00AB41AC"/>
    <w:rPr>
      <w:rFonts w:ascii="Times New Roman" w:eastAsia="黑体" w:hAnsi="Times New Roman" w:cs="Times New Roman"/>
      <w:bCs/>
      <w:color w:val="000000"/>
      <w:kern w:val="44"/>
      <w:sz w:val="32"/>
      <w:szCs w:val="44"/>
    </w:rPr>
  </w:style>
  <w:style w:type="paragraph" w:styleId="a4">
    <w:name w:val="header"/>
    <w:basedOn w:val="a"/>
    <w:link w:val="Char0"/>
    <w:autoRedefine/>
    <w:uiPriority w:val="99"/>
    <w:qFormat/>
    <w:rsid w:val="00AB41AC"/>
    <w:pPr>
      <w:tabs>
        <w:tab w:val="center" w:pos="4153"/>
        <w:tab w:val="right" w:pos="8306"/>
      </w:tabs>
      <w:snapToGrid w:val="0"/>
      <w:spacing w:line="360" w:lineRule="auto"/>
      <w:ind w:left="300" w:hangingChars="300" w:hanging="300"/>
      <w:jc w:val="left"/>
    </w:pPr>
    <w:rPr>
      <w:rFonts w:eastAsia="微软雅黑"/>
      <w:sz w:val="18"/>
      <w:szCs w:val="18"/>
    </w:rPr>
  </w:style>
  <w:style w:type="character" w:customStyle="1" w:styleId="Char0">
    <w:name w:val="页眉 Char"/>
    <w:basedOn w:val="a0"/>
    <w:link w:val="a4"/>
    <w:uiPriority w:val="99"/>
    <w:rsid w:val="00AB41AC"/>
    <w:rPr>
      <w:rFonts w:ascii="Calibri" w:eastAsia="微软雅黑" w:hAnsi="Calibri" w:cs="Times New Roman"/>
      <w:sz w:val="18"/>
      <w:szCs w:val="18"/>
    </w:rPr>
  </w:style>
  <w:style w:type="paragraph" w:styleId="a5">
    <w:name w:val="Balloon Text"/>
    <w:basedOn w:val="a"/>
    <w:link w:val="Char1"/>
    <w:uiPriority w:val="99"/>
    <w:semiHidden/>
    <w:unhideWhenUsed/>
    <w:rsid w:val="00AB41AC"/>
    <w:rPr>
      <w:sz w:val="18"/>
      <w:szCs w:val="18"/>
    </w:rPr>
  </w:style>
  <w:style w:type="character" w:customStyle="1" w:styleId="Char1">
    <w:name w:val="批注框文本 Char"/>
    <w:basedOn w:val="a0"/>
    <w:link w:val="a5"/>
    <w:uiPriority w:val="99"/>
    <w:semiHidden/>
    <w:rsid w:val="00AB41AC"/>
    <w:rPr>
      <w:rFonts w:ascii="Calibri" w:eastAsia="仿宋_GB2312" w:hAnsi="Calibri" w:cs="Times New Roman"/>
      <w:sz w:val="18"/>
      <w:szCs w:val="18"/>
    </w:rPr>
  </w:style>
  <w:style w:type="paragraph" w:styleId="a6">
    <w:name w:val="footer"/>
    <w:basedOn w:val="a"/>
    <w:link w:val="Char2"/>
    <w:unhideWhenUsed/>
    <w:rsid w:val="00AB41AC"/>
    <w:pPr>
      <w:tabs>
        <w:tab w:val="center" w:pos="4153"/>
        <w:tab w:val="right" w:pos="8306"/>
      </w:tabs>
      <w:snapToGrid w:val="0"/>
      <w:jc w:val="left"/>
    </w:pPr>
    <w:rPr>
      <w:sz w:val="18"/>
      <w:szCs w:val="18"/>
    </w:rPr>
  </w:style>
  <w:style w:type="character" w:customStyle="1" w:styleId="Char2">
    <w:name w:val="页脚 Char"/>
    <w:basedOn w:val="a0"/>
    <w:link w:val="a6"/>
    <w:uiPriority w:val="99"/>
    <w:rsid w:val="00AB41AC"/>
    <w:rPr>
      <w:rFonts w:ascii="Calibri" w:eastAsia="仿宋_GB2312" w:hAnsi="Calibri" w:cs="Times New Roman"/>
      <w:sz w:val="18"/>
      <w:szCs w:val="18"/>
    </w:rPr>
  </w:style>
  <w:style w:type="character" w:customStyle="1" w:styleId="a7">
    <w:name w:val="页脚 字符"/>
    <w:rsid w:val="00AB41AC"/>
    <w:rPr>
      <w:sz w:val="18"/>
      <w:szCs w:val="18"/>
    </w:rPr>
  </w:style>
  <w:style w:type="paragraph" w:customStyle="1" w:styleId="10">
    <w:name w:val="列出段落1"/>
    <w:basedOn w:val="a"/>
    <w:rsid w:val="00AB41A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1AC"/>
    <w:pPr>
      <w:widowControl w:val="0"/>
      <w:jc w:val="both"/>
    </w:pPr>
    <w:rPr>
      <w:rFonts w:ascii="Calibri" w:eastAsia="仿宋_GB2312" w:hAnsi="Calibri" w:cs="Times New Roman"/>
      <w:sz w:val="32"/>
      <w:szCs w:val="20"/>
    </w:rPr>
  </w:style>
  <w:style w:type="paragraph" w:styleId="1">
    <w:name w:val="heading 1"/>
    <w:basedOn w:val="a"/>
    <w:next w:val="a"/>
    <w:link w:val="1Char"/>
    <w:qFormat/>
    <w:rsid w:val="00AB41AC"/>
    <w:pPr>
      <w:keepNext/>
      <w:keepLines/>
      <w:spacing w:before="260" w:after="120" w:line="460" w:lineRule="exact"/>
      <w:jc w:val="left"/>
      <w:outlineLvl w:val="0"/>
    </w:pPr>
    <w:rPr>
      <w:rFonts w:ascii="Times New Roman" w:eastAsia="黑体" w:hAnsi="Times New Roman"/>
      <w:bCs/>
      <w:color w:val="000000"/>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8E6E1A"/>
    <w:pPr>
      <w:jc w:val="left"/>
    </w:pPr>
    <w:rPr>
      <w:rFonts w:ascii="Times New Roman" w:eastAsia="宋体" w:hAnsi="Times New Roman" w:cstheme="minorBidi"/>
      <w:sz w:val="21"/>
      <w:szCs w:val="24"/>
    </w:rPr>
  </w:style>
  <w:style w:type="character" w:customStyle="1" w:styleId="Char">
    <w:name w:val="批注文字 Char"/>
    <w:link w:val="a3"/>
    <w:qFormat/>
    <w:rsid w:val="008E6E1A"/>
    <w:rPr>
      <w:rFonts w:ascii="Times New Roman" w:hAnsi="Times New Roman"/>
      <w:szCs w:val="24"/>
    </w:rPr>
  </w:style>
  <w:style w:type="character" w:customStyle="1" w:styleId="1Char">
    <w:name w:val="标题 1 Char"/>
    <w:basedOn w:val="a0"/>
    <w:link w:val="1"/>
    <w:qFormat/>
    <w:rsid w:val="00AB41AC"/>
    <w:rPr>
      <w:rFonts w:ascii="Times New Roman" w:eastAsia="黑体" w:hAnsi="Times New Roman" w:cs="Times New Roman"/>
      <w:bCs/>
      <w:color w:val="000000"/>
      <w:kern w:val="44"/>
      <w:sz w:val="32"/>
      <w:szCs w:val="44"/>
    </w:rPr>
  </w:style>
  <w:style w:type="paragraph" w:styleId="a4">
    <w:name w:val="header"/>
    <w:basedOn w:val="a"/>
    <w:link w:val="Char0"/>
    <w:autoRedefine/>
    <w:uiPriority w:val="99"/>
    <w:qFormat/>
    <w:rsid w:val="00AB41AC"/>
    <w:pPr>
      <w:tabs>
        <w:tab w:val="center" w:pos="4153"/>
        <w:tab w:val="right" w:pos="8306"/>
      </w:tabs>
      <w:snapToGrid w:val="0"/>
      <w:spacing w:line="360" w:lineRule="auto"/>
      <w:ind w:left="300" w:hangingChars="300" w:hanging="300"/>
      <w:jc w:val="left"/>
    </w:pPr>
    <w:rPr>
      <w:rFonts w:eastAsia="微软雅黑"/>
      <w:sz w:val="18"/>
      <w:szCs w:val="18"/>
    </w:rPr>
  </w:style>
  <w:style w:type="character" w:customStyle="1" w:styleId="Char0">
    <w:name w:val="页眉 Char"/>
    <w:basedOn w:val="a0"/>
    <w:link w:val="a4"/>
    <w:uiPriority w:val="99"/>
    <w:rsid w:val="00AB41AC"/>
    <w:rPr>
      <w:rFonts w:ascii="Calibri" w:eastAsia="微软雅黑" w:hAnsi="Calibri" w:cs="Times New Roman"/>
      <w:sz w:val="18"/>
      <w:szCs w:val="18"/>
    </w:rPr>
  </w:style>
  <w:style w:type="paragraph" w:styleId="a5">
    <w:name w:val="Balloon Text"/>
    <w:basedOn w:val="a"/>
    <w:link w:val="Char1"/>
    <w:uiPriority w:val="99"/>
    <w:semiHidden/>
    <w:unhideWhenUsed/>
    <w:rsid w:val="00AB41AC"/>
    <w:rPr>
      <w:sz w:val="18"/>
      <w:szCs w:val="18"/>
    </w:rPr>
  </w:style>
  <w:style w:type="character" w:customStyle="1" w:styleId="Char1">
    <w:name w:val="批注框文本 Char"/>
    <w:basedOn w:val="a0"/>
    <w:link w:val="a5"/>
    <w:uiPriority w:val="99"/>
    <w:semiHidden/>
    <w:rsid w:val="00AB41AC"/>
    <w:rPr>
      <w:rFonts w:ascii="Calibri" w:eastAsia="仿宋_GB2312" w:hAnsi="Calibri" w:cs="Times New Roman"/>
      <w:sz w:val="18"/>
      <w:szCs w:val="18"/>
    </w:rPr>
  </w:style>
  <w:style w:type="paragraph" w:styleId="a6">
    <w:name w:val="footer"/>
    <w:basedOn w:val="a"/>
    <w:link w:val="Char2"/>
    <w:unhideWhenUsed/>
    <w:rsid w:val="00AB41AC"/>
    <w:pPr>
      <w:tabs>
        <w:tab w:val="center" w:pos="4153"/>
        <w:tab w:val="right" w:pos="8306"/>
      </w:tabs>
      <w:snapToGrid w:val="0"/>
      <w:jc w:val="left"/>
    </w:pPr>
    <w:rPr>
      <w:sz w:val="18"/>
      <w:szCs w:val="18"/>
    </w:rPr>
  </w:style>
  <w:style w:type="character" w:customStyle="1" w:styleId="Char2">
    <w:name w:val="页脚 Char"/>
    <w:basedOn w:val="a0"/>
    <w:link w:val="a6"/>
    <w:uiPriority w:val="99"/>
    <w:rsid w:val="00AB41AC"/>
    <w:rPr>
      <w:rFonts w:ascii="Calibri" w:eastAsia="仿宋_GB2312" w:hAnsi="Calibri" w:cs="Times New Roman"/>
      <w:sz w:val="18"/>
      <w:szCs w:val="18"/>
    </w:rPr>
  </w:style>
  <w:style w:type="character" w:customStyle="1" w:styleId="a7">
    <w:name w:val="页脚 字符"/>
    <w:rsid w:val="00AB41AC"/>
    <w:rPr>
      <w:sz w:val="18"/>
      <w:szCs w:val="18"/>
    </w:rPr>
  </w:style>
  <w:style w:type="paragraph" w:customStyle="1" w:styleId="10">
    <w:name w:val="列出段落1"/>
    <w:basedOn w:val="a"/>
    <w:rsid w:val="00AB41A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1453</Words>
  <Characters>8286</Characters>
  <Application>Microsoft Office Word</Application>
  <DocSecurity>0</DocSecurity>
  <Lines>69</Lines>
  <Paragraphs>19</Paragraphs>
  <ScaleCrop>false</ScaleCrop>
  <Company>Sky123.Org</Company>
  <LinksUpToDate>false</LinksUpToDate>
  <CharactersWithSpaces>9720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2021-04-26T09:27:00Z</dcterms:created>
  <dcterms:modified xsi:type="dcterms:W3CDTF">2021-04-27T05:39:00Z</dcterms:modified>
</cp:coreProperties>
</file>